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福建龙岩农村商业银行股份有限公司</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2024年度环境信息披露报告</w:t>
      </w:r>
    </w:p>
    <w:p>
      <w:pPr>
        <w:pStyle w:val="2"/>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目 录</w:t>
      </w:r>
    </w:p>
    <w:p>
      <w:pPr>
        <w:rPr>
          <w:rFonts w:ascii="仿宋_GB2312" w:hAnsi="仿宋_GB2312" w:eastAsia="仿宋_GB2312" w:cs="仿宋_GB2312"/>
          <w:sz w:val="32"/>
          <w:szCs w:val="32"/>
        </w:rPr>
      </w:pPr>
      <w:r>
        <w:rPr>
          <w:rFonts w:hint="eastAsia" w:ascii="仿宋_GB2312" w:hAnsi="仿宋_GB2312" w:eastAsia="仿宋_GB2312" w:cs="仿宋_GB2312"/>
          <w:b/>
          <w:bCs/>
          <w:sz w:val="32"/>
          <w:szCs w:val="32"/>
        </w:rPr>
        <w:t>一、关于</w:t>
      </w:r>
      <w:r>
        <w:rPr>
          <w:rFonts w:ascii="仿宋_GB2312" w:hAnsi="仿宋_GB2312" w:eastAsia="仿宋_GB2312" w:cs="仿宋_GB2312"/>
          <w:b/>
          <w:bCs/>
          <w:sz w:val="32"/>
          <w:szCs w:val="32"/>
        </w:rPr>
        <w:t>本报告</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1</w:t>
      </w:r>
    </w:p>
    <w:p>
      <w:pPr>
        <w:rPr>
          <w:rFonts w:ascii="仿宋_GB2312" w:hAnsi="仿宋_GB2312" w:eastAsia="仿宋_GB2312" w:cs="仿宋_GB2312"/>
          <w:sz w:val="32"/>
          <w:szCs w:val="32"/>
        </w:rPr>
      </w:pPr>
      <w:r>
        <w:rPr>
          <w:rFonts w:hint="eastAsia" w:ascii="仿宋_GB2312" w:hAnsi="仿宋_GB2312" w:eastAsia="仿宋_GB2312" w:cs="仿宋_GB2312"/>
          <w:b/>
          <w:bCs/>
          <w:sz w:val="32"/>
          <w:szCs w:val="32"/>
        </w:rPr>
        <w:t>二</w:t>
      </w:r>
      <w:r>
        <w:rPr>
          <w:rFonts w:ascii="仿宋_GB2312" w:hAnsi="仿宋_GB2312" w:eastAsia="仿宋_GB2312" w:cs="仿宋_GB2312"/>
          <w:b/>
          <w:bCs/>
          <w:sz w:val="32"/>
          <w:szCs w:val="32"/>
        </w:rPr>
        <w:t>、</w:t>
      </w:r>
      <w:r>
        <w:rPr>
          <w:rFonts w:hint="eastAsia" w:ascii="仿宋_GB2312" w:hAnsi="仿宋_GB2312" w:eastAsia="仿宋_GB2312" w:cs="仿宋_GB2312"/>
          <w:b/>
          <w:bCs/>
          <w:sz w:val="32"/>
          <w:szCs w:val="32"/>
        </w:rPr>
        <w:t>总体概况</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1</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（一）年度总体概况.............</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2</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（二）环境相关规划及行动成效.........</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3</w:t>
      </w:r>
    </w:p>
    <w:p>
      <w:pPr>
        <w:pStyle w:val="2"/>
        <w:rPr>
          <w:rFonts w:ascii="仿宋_GB2312" w:hAnsi="仿宋_GB2312" w:eastAsia="仿宋_GB2312" w:cs="仿宋_GB2312"/>
          <w:sz w:val="32"/>
          <w:szCs w:val="32"/>
        </w:rPr>
      </w:pPr>
      <w:r>
        <w:rPr>
          <w:rFonts w:hint="eastAsia" w:ascii="仿宋_GB2312" w:hAnsi="仿宋_GB2312" w:eastAsia="仿宋_GB2312" w:cs="仿宋_GB2312"/>
          <w:sz w:val="32"/>
          <w:szCs w:val="32"/>
        </w:rPr>
        <w:t>（三）下一年</w:t>
      </w:r>
      <w:r>
        <w:rPr>
          <w:rFonts w:ascii="仿宋_GB2312" w:hAnsi="仿宋_GB2312" w:eastAsia="仿宋_GB2312" w:cs="仿宋_GB2312"/>
          <w:sz w:val="32"/>
          <w:szCs w:val="32"/>
        </w:rPr>
        <w:t>度规划与目标</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5</w:t>
      </w:r>
    </w:p>
    <w:p>
      <w:pPr>
        <w:rPr>
          <w:rFonts w:ascii="仿宋_GB2312" w:hAnsi="仿宋_GB2312" w:eastAsia="仿宋_GB2312" w:cs="仿宋_GB2312"/>
          <w:sz w:val="32"/>
          <w:szCs w:val="32"/>
        </w:rPr>
      </w:pPr>
      <w:r>
        <w:rPr>
          <w:rFonts w:hint="eastAsia" w:ascii="仿宋_GB2312" w:hAnsi="仿宋_GB2312" w:eastAsia="仿宋_GB2312" w:cs="仿宋_GB2312"/>
          <w:b/>
          <w:bCs/>
          <w:sz w:val="32"/>
          <w:szCs w:val="32"/>
        </w:rPr>
        <w:t>三、环境相关治理结构</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5</w:t>
      </w:r>
    </w:p>
    <w:p>
      <w:pPr>
        <w:rPr>
          <w:rFonts w:ascii="仿宋_GB2312" w:hAnsi="仿宋_GB2312" w:eastAsia="仿宋_GB2312" w:cs="仿宋_GB2312"/>
          <w:sz w:val="32"/>
          <w:szCs w:val="32"/>
        </w:rPr>
      </w:pPr>
      <w:r>
        <w:rPr>
          <w:rFonts w:hint="eastAsia" w:ascii="仿宋_GB2312" w:hAnsi="仿宋_GB2312" w:eastAsia="仿宋_GB2312" w:cs="仿宋_GB2312"/>
          <w:b/>
          <w:bCs/>
          <w:sz w:val="32"/>
          <w:szCs w:val="32"/>
        </w:rPr>
        <w:t>四、环境相关政策制度</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6</w:t>
      </w:r>
    </w:p>
    <w:p>
      <w:pPr>
        <w:rPr>
          <w:rFonts w:ascii="仿宋_GB2312" w:hAnsi="仿宋_GB2312" w:eastAsia="仿宋_GB2312" w:cs="仿宋_GB2312"/>
          <w:sz w:val="32"/>
          <w:szCs w:val="32"/>
        </w:rPr>
      </w:pPr>
      <w:r>
        <w:rPr>
          <w:rFonts w:hint="eastAsia" w:ascii="仿宋_GB2312" w:hAnsi="仿宋_GB2312" w:eastAsia="仿宋_GB2312" w:cs="仿宋_GB2312"/>
          <w:b/>
          <w:bCs/>
          <w:sz w:val="32"/>
          <w:szCs w:val="32"/>
        </w:rPr>
        <w:t>五、环境相关产品与服务创新</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6</w:t>
      </w:r>
    </w:p>
    <w:p>
      <w:pP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六、经营活动对</w:t>
      </w:r>
      <w:r>
        <w:rPr>
          <w:rFonts w:ascii="仿宋_GB2312" w:hAnsi="仿宋_GB2312" w:eastAsia="仿宋_GB2312" w:cs="仿宋_GB2312"/>
          <w:b/>
          <w:bCs/>
          <w:sz w:val="32"/>
          <w:szCs w:val="32"/>
        </w:rPr>
        <w:t>气候与环境的影响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8</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（一）经营环境影响.........</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8</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（二）环保措施</w:t>
      </w:r>
      <w:r>
        <w:rPr>
          <w:rFonts w:ascii="仿宋_GB2312" w:hAnsi="仿宋_GB2312" w:eastAsia="仿宋_GB2312" w:cs="仿宋_GB2312"/>
          <w:sz w:val="32"/>
          <w:szCs w:val="32"/>
        </w:rPr>
        <w:t>及成果</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8</w:t>
      </w:r>
    </w:p>
    <w:p>
      <w:pPr>
        <w:pStyle w:val="2"/>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七</w:t>
      </w:r>
      <w:r>
        <w:rPr>
          <w:rFonts w:ascii="仿宋_GB2312" w:hAnsi="仿宋_GB2312" w:eastAsia="仿宋_GB2312" w:cs="仿宋_GB2312"/>
          <w:b/>
          <w:bCs/>
          <w:sz w:val="32"/>
          <w:szCs w:val="32"/>
        </w:rPr>
        <w:t>、</w:t>
      </w:r>
      <w:r>
        <w:rPr>
          <w:rFonts w:hint="eastAsia" w:ascii="仿宋_GB2312" w:hAnsi="仿宋_GB2312" w:eastAsia="仿宋_GB2312" w:cs="仿宋_GB2312"/>
          <w:b/>
          <w:bCs/>
          <w:sz w:val="32"/>
          <w:szCs w:val="32"/>
        </w:rPr>
        <w:t>投融资活动对气候与环境的影响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10</w:t>
      </w:r>
    </w:p>
    <w:p>
      <w:pPr>
        <w:pStyle w:val="2"/>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八</w:t>
      </w:r>
      <w:r>
        <w:rPr>
          <w:rFonts w:ascii="仿宋_GB2312" w:hAnsi="仿宋_GB2312" w:eastAsia="仿宋_GB2312" w:cs="仿宋_GB2312"/>
          <w:b/>
          <w:bCs/>
          <w:sz w:val="32"/>
          <w:szCs w:val="32"/>
        </w:rPr>
        <w:t>、未</w:t>
      </w:r>
      <w:r>
        <w:rPr>
          <w:rFonts w:hint="eastAsia" w:ascii="仿宋_GB2312" w:hAnsi="仿宋_GB2312" w:eastAsia="仿宋_GB2312" w:cs="仿宋_GB2312"/>
          <w:b/>
          <w:bCs/>
          <w:sz w:val="32"/>
          <w:szCs w:val="32"/>
        </w:rPr>
        <w:t>来展望.</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11</w:t>
      </w:r>
    </w:p>
    <w:p>
      <w:pPr>
        <w:widowControl/>
        <w:jc w:val="left"/>
        <w:rPr>
          <w:sz w:val="18"/>
          <w:szCs w:val="18"/>
        </w:rPr>
      </w:pPr>
    </w:p>
    <w:p>
      <w:pPr>
        <w:pStyle w:val="2"/>
      </w:pPr>
    </w:p>
    <w:p>
      <w:pPr>
        <w:widowControl/>
        <w:jc w:val="left"/>
        <w:sectPr>
          <w:footerReference r:id="rId3" w:type="default"/>
          <w:pgSz w:w="11906" w:h="16838"/>
          <w:pgMar w:top="1440" w:right="1800" w:bottom="1440" w:left="1800" w:header="851" w:footer="992" w:gutter="0"/>
          <w:pgNumType w:start="1"/>
          <w:cols w:space="425" w:num="1"/>
          <w:docGrid w:type="lines" w:linePitch="312" w:charSpace="0"/>
        </w:sectPr>
      </w:pPr>
    </w:p>
    <w:p>
      <w:pPr>
        <w:adjustRightInd w:val="0"/>
        <w:snapToGrid w:val="0"/>
        <w:spacing w:line="540" w:lineRule="exact"/>
        <w:ind w:firstLine="640" w:firstLineChars="200"/>
        <w:outlineLvl w:val="0"/>
        <w:rPr>
          <w:rFonts w:ascii="黑体" w:hAnsi="黑体" w:eastAsia="黑体" w:cs="仿宋"/>
          <w:sz w:val="32"/>
          <w:szCs w:val="32"/>
        </w:rPr>
      </w:pPr>
      <w:bookmarkStart w:id="12" w:name="_GoBack"/>
      <w:bookmarkEnd w:id="12"/>
      <w:r>
        <w:rPr>
          <w:rFonts w:hint="eastAsia" w:ascii="黑体" w:hAnsi="黑体" w:eastAsia="黑体" w:cs="仿宋"/>
          <w:sz w:val="32"/>
          <w:szCs w:val="32"/>
        </w:rPr>
        <w:t>一、关于本报告</w:t>
      </w:r>
    </w:p>
    <w:p>
      <w:pPr>
        <w:adjustRightInd w:val="0"/>
        <w:snapToGrid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《福建龙岩农村商业银行股份有限公司202</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年度环境信息披露报告》（以下简称“本报告”），旨在披露福建龙岩农村商业银行股份有限公司（以下</w:t>
      </w:r>
      <w:r>
        <w:rPr>
          <w:rFonts w:ascii="仿宋_GB2312" w:hAnsi="仿宋_GB2312" w:eastAsia="仿宋_GB2312" w:cs="仿宋_GB2312"/>
          <w:sz w:val="32"/>
          <w:szCs w:val="32"/>
        </w:rPr>
        <w:t>简称</w:t>
      </w:r>
      <w:r>
        <w:rPr>
          <w:rFonts w:hint="eastAsia" w:ascii="仿宋_GB2312" w:hAnsi="仿宋_GB2312" w:eastAsia="仿宋_GB2312" w:cs="仿宋_GB2312"/>
          <w:sz w:val="32"/>
          <w:szCs w:val="32"/>
        </w:rPr>
        <w:t>“龙岩</w:t>
      </w:r>
      <w:r>
        <w:rPr>
          <w:rFonts w:ascii="仿宋_GB2312" w:hAnsi="仿宋_GB2312" w:eastAsia="仿宋_GB2312" w:cs="仿宋_GB2312"/>
          <w:sz w:val="32"/>
          <w:szCs w:val="32"/>
        </w:rPr>
        <w:t>农商银行</w:t>
      </w:r>
      <w:r>
        <w:rPr>
          <w:rFonts w:hint="eastAsia" w:ascii="仿宋_GB2312" w:hAnsi="仿宋_GB2312" w:eastAsia="仿宋_GB2312" w:cs="仿宋_GB2312"/>
          <w:sz w:val="32"/>
          <w:szCs w:val="32"/>
        </w:rPr>
        <w:t>”或</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本行</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w:t>
      </w:r>
      <w:r>
        <w:rPr>
          <w:rFonts w:hint="eastAsia"/>
        </w:rPr>
        <w:t xml:space="preserve"> </w:t>
      </w:r>
      <w:r>
        <w:rPr>
          <w:rFonts w:hint="eastAsia" w:ascii="仿宋_GB2312" w:hAnsi="仿宋_GB2312" w:eastAsia="仿宋_GB2312" w:cs="仿宋_GB2312"/>
          <w:sz w:val="32"/>
          <w:szCs w:val="32"/>
        </w:rPr>
        <w:t>环境保护、绿色金融及绿色运营等环境方面的相关信息。</w:t>
      </w:r>
    </w:p>
    <w:p>
      <w:pPr>
        <w:adjustRightInd w:val="0"/>
        <w:snapToGrid w:val="0"/>
        <w:spacing w:line="540" w:lineRule="exact"/>
        <w:ind w:firstLine="640" w:firstLineChars="200"/>
        <w:rPr>
          <w:rFonts w:ascii="楷体" w:hAnsi="楷体" w:eastAsia="楷体" w:cs="仿宋_GB2312"/>
          <w:sz w:val="32"/>
          <w:szCs w:val="32"/>
        </w:rPr>
      </w:pPr>
      <w:r>
        <w:rPr>
          <w:rFonts w:hint="eastAsia" w:ascii="楷体" w:hAnsi="楷体" w:eastAsia="楷体" w:cs="仿宋_GB2312"/>
          <w:sz w:val="32"/>
          <w:szCs w:val="32"/>
        </w:rPr>
        <w:t>（一）报告期间</w:t>
      </w:r>
    </w:p>
    <w:p>
      <w:pPr>
        <w:adjustRightInd w:val="0"/>
        <w:snapToGrid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年1月1日至202</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年12月31日。</w:t>
      </w:r>
    </w:p>
    <w:p>
      <w:pPr>
        <w:adjustRightInd w:val="0"/>
        <w:snapToGrid w:val="0"/>
        <w:spacing w:line="540" w:lineRule="exact"/>
        <w:ind w:firstLine="640" w:firstLineChars="200"/>
        <w:rPr>
          <w:rFonts w:ascii="楷体" w:hAnsi="楷体" w:eastAsia="楷体" w:cs="仿宋_GB2312"/>
          <w:sz w:val="32"/>
          <w:szCs w:val="32"/>
        </w:rPr>
      </w:pPr>
      <w:r>
        <w:rPr>
          <w:rFonts w:hint="eastAsia" w:ascii="楷体" w:hAnsi="楷体" w:eastAsia="楷体" w:cs="仿宋_GB2312"/>
          <w:sz w:val="32"/>
          <w:szCs w:val="32"/>
        </w:rPr>
        <w:t>（二）报告范围</w:t>
      </w:r>
    </w:p>
    <w:p>
      <w:pPr>
        <w:pStyle w:val="2"/>
        <w:adjustRightInd w:val="0"/>
        <w:snapToGrid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本报告披露范围包括福建龙岩农村商业银行股份有限公司及所辖分支机构。</w:t>
      </w:r>
    </w:p>
    <w:p>
      <w:pPr>
        <w:adjustRightInd w:val="0"/>
        <w:snapToGrid w:val="0"/>
        <w:spacing w:line="540" w:lineRule="exact"/>
        <w:ind w:firstLine="640" w:firstLineChars="200"/>
        <w:rPr>
          <w:rFonts w:ascii="楷体" w:hAnsi="楷体" w:eastAsia="楷体" w:cs="仿宋_GB2312"/>
          <w:sz w:val="32"/>
          <w:szCs w:val="32"/>
        </w:rPr>
      </w:pPr>
      <w:r>
        <w:rPr>
          <w:rFonts w:hint="eastAsia" w:ascii="楷体" w:hAnsi="楷体" w:eastAsia="楷体" w:cs="仿宋_GB2312"/>
          <w:sz w:val="32"/>
          <w:szCs w:val="32"/>
        </w:rPr>
        <w:t>（三）报告数据说明</w:t>
      </w:r>
    </w:p>
    <w:p>
      <w:pPr>
        <w:pStyle w:val="2"/>
        <w:adjustRightInd w:val="0"/>
        <w:snapToGrid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本报告中的数据以2024年1月1日至2024年12月31日期间内的数据为主，主要来源本行内部统计数据及基于报告框架的定性与定量数据信息采集。本报告所涉及货币金额以人民币为计量单位。</w:t>
      </w:r>
    </w:p>
    <w:p>
      <w:pPr>
        <w:adjustRightInd w:val="0"/>
        <w:snapToGrid w:val="0"/>
        <w:spacing w:line="540" w:lineRule="exact"/>
        <w:ind w:firstLine="640" w:firstLineChars="200"/>
        <w:rPr>
          <w:rFonts w:ascii="楷体" w:hAnsi="楷体" w:eastAsia="楷体" w:cs="仿宋_GB2312"/>
          <w:sz w:val="32"/>
          <w:szCs w:val="32"/>
        </w:rPr>
      </w:pPr>
      <w:r>
        <w:rPr>
          <w:rFonts w:hint="eastAsia" w:ascii="楷体" w:hAnsi="楷体" w:eastAsia="楷体" w:cs="仿宋_GB2312"/>
          <w:sz w:val="32"/>
          <w:szCs w:val="32"/>
        </w:rPr>
        <w:t>（四）报告编制依据</w:t>
      </w:r>
    </w:p>
    <w:p>
      <w:pPr>
        <w:adjustRightInd w:val="0"/>
        <w:snapToGrid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本报告遵循中国人民银行发布的《金融机构环境信息披露指南》（JR/T0227-2021）及人民银行福建省分行发布的《福建省金融机构环境信息披露工作安排》等相关要求进行编制。</w:t>
      </w:r>
    </w:p>
    <w:p>
      <w:pPr>
        <w:adjustRightInd w:val="0"/>
        <w:snapToGrid w:val="0"/>
        <w:spacing w:line="540" w:lineRule="exact"/>
        <w:ind w:firstLine="640" w:firstLineChars="200"/>
        <w:rPr>
          <w:rFonts w:ascii="楷体" w:hAnsi="楷体" w:eastAsia="楷体" w:cs="仿宋_GB2312"/>
          <w:sz w:val="32"/>
          <w:szCs w:val="32"/>
        </w:rPr>
      </w:pPr>
      <w:r>
        <w:rPr>
          <w:rFonts w:hint="eastAsia" w:ascii="楷体" w:hAnsi="楷体" w:eastAsia="楷体" w:cs="仿宋_GB2312"/>
          <w:sz w:val="32"/>
          <w:szCs w:val="32"/>
        </w:rPr>
        <w:t>（五）报告发布形式</w:t>
      </w:r>
    </w:p>
    <w:p>
      <w:pPr>
        <w:adjustRightInd w:val="0"/>
        <w:snapToGrid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本报告以中文电子版形式发布，您可在本行官方</w:t>
      </w:r>
      <w:r>
        <w:rPr>
          <w:rFonts w:ascii="仿宋_GB2312" w:hAnsi="仿宋_GB2312" w:eastAsia="仿宋_GB2312" w:cs="仿宋_GB2312"/>
          <w:sz w:val="32"/>
          <w:szCs w:val="32"/>
        </w:rPr>
        <w:t>网站</w:t>
      </w:r>
      <w:r>
        <w:rPr>
          <w:rFonts w:hint="eastAsia" w:ascii="仿宋_GB2312" w:hAnsi="仿宋_GB2312" w:eastAsia="仿宋_GB2312" w:cs="仿宋_GB2312"/>
          <w:sz w:val="32"/>
          <w:szCs w:val="32"/>
        </w:rPr>
        <w:t>查阅。</w:t>
      </w:r>
    </w:p>
    <w:p>
      <w:pPr>
        <w:adjustRightInd w:val="0"/>
        <w:snapToGrid w:val="0"/>
        <w:spacing w:line="540" w:lineRule="exact"/>
        <w:ind w:firstLine="640" w:firstLineChars="200"/>
        <w:outlineLvl w:val="0"/>
        <w:rPr>
          <w:rFonts w:ascii="黑体" w:hAnsi="黑体" w:eastAsia="黑体" w:cs="仿宋"/>
          <w:sz w:val="32"/>
          <w:szCs w:val="32"/>
        </w:rPr>
      </w:pPr>
      <w:bookmarkStart w:id="0" w:name="_Toc6719"/>
      <w:bookmarkStart w:id="1" w:name="_Toc1558"/>
      <w:r>
        <w:rPr>
          <w:rFonts w:hint="eastAsia" w:ascii="黑体" w:hAnsi="黑体" w:eastAsia="黑体" w:cs="仿宋"/>
          <w:sz w:val="32"/>
          <w:szCs w:val="32"/>
        </w:rPr>
        <w:t>二、总体概况</w:t>
      </w:r>
      <w:bookmarkEnd w:id="0"/>
      <w:bookmarkEnd w:id="1"/>
    </w:p>
    <w:p>
      <w:pPr>
        <w:adjustRightInd w:val="0"/>
        <w:snapToGrid w:val="0"/>
        <w:spacing w:line="540" w:lineRule="exact"/>
        <w:ind w:firstLine="640" w:firstLineChars="200"/>
        <w:rPr>
          <w:rFonts w:ascii="楷体" w:hAnsi="楷体" w:eastAsia="楷体" w:cs="仿宋_GB2312"/>
          <w:sz w:val="32"/>
          <w:szCs w:val="32"/>
        </w:rPr>
      </w:pPr>
      <w:bookmarkStart w:id="2" w:name="_Toc30771"/>
      <w:bookmarkStart w:id="3" w:name="_Toc4384"/>
      <w:bookmarkStart w:id="4" w:name="_Toc5750"/>
      <w:r>
        <w:rPr>
          <w:rFonts w:hint="eastAsia" w:ascii="楷体" w:hAnsi="楷体" w:eastAsia="楷体" w:cs="仿宋_GB2312"/>
          <w:sz w:val="32"/>
          <w:szCs w:val="32"/>
        </w:rPr>
        <w:t>（一）年度总体概况</w:t>
      </w:r>
      <w:bookmarkEnd w:id="2"/>
      <w:bookmarkEnd w:id="3"/>
      <w:bookmarkEnd w:id="4"/>
    </w:p>
    <w:p>
      <w:pPr>
        <w:adjustRightInd w:val="0"/>
        <w:snapToGrid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福建龙岩农村商业银行股份有限公司，</w:t>
      </w:r>
      <w:r>
        <w:rPr>
          <w:rFonts w:hint="eastAsia" w:ascii="仿宋_GB2312" w:hAnsi="宋体" w:eastAsia="仿宋_GB2312" w:cs="宋体"/>
          <w:kern w:val="0"/>
          <w:sz w:val="32"/>
          <w:szCs w:val="32"/>
        </w:rPr>
        <w:t>是在新罗区农村信用合作联社的基础上改制而成的股份制商业银行,于2012年3月30日正式挂牌开业</w:t>
      </w:r>
      <w:r>
        <w:rPr>
          <w:rFonts w:hint="eastAsia" w:ascii="仿宋_GB2312" w:hAnsi="仿宋_GB2312" w:eastAsia="仿宋_GB2312" w:cs="仿宋_GB2312"/>
          <w:sz w:val="32"/>
          <w:szCs w:val="32"/>
        </w:rPr>
        <w:t>。龙岩农商银行</w:t>
      </w:r>
      <w:r>
        <w:rPr>
          <w:rFonts w:hint="eastAsia" w:ascii="仿宋_GB2312" w:hAnsi="宋体" w:eastAsia="仿宋_GB2312" w:cs="宋体"/>
          <w:kern w:val="0"/>
          <w:sz w:val="32"/>
          <w:szCs w:val="32"/>
        </w:rPr>
        <w:t>服务网点遍布城乡，是龙岩市营业网点最多、服务面最广的银行业金融机构，是龙岩市农村金融、绿色金融、普惠金融的主力军，乡村振兴的主办行</w:t>
      </w:r>
      <w:r>
        <w:rPr>
          <w:rFonts w:hint="eastAsia" w:ascii="仿宋_GB2312" w:hAnsi="仿宋_GB2312" w:eastAsia="仿宋_GB2312" w:cs="仿宋_GB2312"/>
          <w:sz w:val="32"/>
          <w:szCs w:val="32"/>
        </w:rPr>
        <w:t>，始终坚持</w:t>
      </w:r>
      <w:r>
        <w:rPr>
          <w:rFonts w:hint="eastAsia" w:ascii="仿宋_GB2312" w:hAnsi="宋体" w:eastAsia="仿宋_GB2312" w:cs="宋体"/>
          <w:kern w:val="0"/>
          <w:sz w:val="32"/>
          <w:szCs w:val="32"/>
        </w:rPr>
        <w:t>以“服务三农、支持小微、助力民生”为经营宗旨，将</w:t>
      </w:r>
      <w:r>
        <w:rPr>
          <w:rFonts w:hint="eastAsia" w:ascii="仿宋_GB2312" w:hAnsi="仿宋_GB2312" w:eastAsia="仿宋_GB2312" w:cs="仿宋_GB2312"/>
          <w:sz w:val="32"/>
          <w:szCs w:val="32"/>
        </w:rPr>
        <w:t>贷款重点投向“三农”，重点投向农村广大农户和中小微企业。</w:t>
      </w:r>
    </w:p>
    <w:p>
      <w:pPr>
        <w:widowControl/>
        <w:adjustRightInd w:val="0"/>
        <w:snapToGrid w:val="0"/>
        <w:spacing w:line="540" w:lineRule="exact"/>
        <w:ind w:firstLine="640" w:firstLineChars="200"/>
        <w:rPr>
          <w:rFonts w:ascii="仿宋_GB2312" w:hAnsi="仿宋_GB2312" w:eastAsia="仿宋_GB2312" w:cs="仿宋_GB2312"/>
          <w:sz w:val="32"/>
          <w:szCs w:val="32"/>
        </w:rPr>
      </w:pPr>
      <w:r>
        <w:rPr>
          <w:rFonts w:hint="eastAsia" w:ascii="仿宋_GB2312" w:hAnsi="宋体" w:eastAsia="仿宋_GB2312" w:cs="宋体"/>
          <w:kern w:val="0"/>
          <w:sz w:val="32"/>
          <w:szCs w:val="32"/>
        </w:rPr>
        <w:t>本行内设12个职能部门，下辖1个营业部、36个支行（异地支行2个），布设274个普惠金融服务点，</w:t>
      </w:r>
      <w:r>
        <w:rPr>
          <w:rFonts w:ascii="仿宋_GB2312" w:hAnsi="宋体" w:eastAsia="仿宋_GB2312" w:cs="宋体"/>
          <w:kern w:val="0"/>
          <w:sz w:val="32"/>
          <w:szCs w:val="32"/>
        </w:rPr>
        <w:t>38</w:t>
      </w:r>
      <w:r>
        <w:rPr>
          <w:rFonts w:hint="eastAsia" w:ascii="仿宋_GB2312" w:hAnsi="宋体" w:eastAsia="仿宋_GB2312" w:cs="宋体"/>
          <w:kern w:val="0"/>
          <w:sz w:val="32"/>
          <w:szCs w:val="32"/>
        </w:rPr>
        <w:t>家24小时自助银行，2003年至2020年连续六届被福建省委、省政府授予“文明单位”荣誉称号。截至2024年末，资产总额</w:t>
      </w:r>
      <w:r>
        <w:rPr>
          <w:rFonts w:ascii="仿宋_GB2312" w:hAnsi="宋体" w:eastAsia="仿宋_GB2312" w:cs="宋体"/>
          <w:kern w:val="0"/>
          <w:sz w:val="32"/>
          <w:szCs w:val="32"/>
        </w:rPr>
        <w:t>278.47</w:t>
      </w:r>
      <w:r>
        <w:rPr>
          <w:rFonts w:hint="eastAsia" w:ascii="仿宋_GB2312" w:hAnsi="宋体" w:eastAsia="仿宋_GB2312" w:cs="宋体"/>
          <w:kern w:val="0"/>
          <w:sz w:val="32"/>
          <w:szCs w:val="32"/>
        </w:rPr>
        <w:t>亿元，各项存款</w:t>
      </w:r>
      <w:r>
        <w:rPr>
          <w:rFonts w:ascii="仿宋_GB2312" w:hAnsi="宋体" w:eastAsia="仿宋_GB2312" w:cs="宋体"/>
          <w:kern w:val="0"/>
          <w:sz w:val="32"/>
          <w:szCs w:val="32"/>
        </w:rPr>
        <w:t>226.24</w:t>
      </w:r>
      <w:r>
        <w:rPr>
          <w:rFonts w:hint="eastAsia" w:ascii="仿宋_GB2312" w:hAnsi="宋体" w:eastAsia="仿宋_GB2312" w:cs="宋体"/>
          <w:kern w:val="0"/>
          <w:sz w:val="32"/>
          <w:szCs w:val="32"/>
        </w:rPr>
        <w:t>亿元，各项贷款</w:t>
      </w:r>
      <w:r>
        <w:rPr>
          <w:rFonts w:ascii="仿宋_GB2312" w:hAnsi="宋体" w:eastAsia="仿宋_GB2312" w:cs="宋体"/>
          <w:kern w:val="0"/>
          <w:sz w:val="32"/>
          <w:szCs w:val="32"/>
        </w:rPr>
        <w:t>149.22</w:t>
      </w:r>
      <w:r>
        <w:rPr>
          <w:rFonts w:hint="eastAsia" w:ascii="仿宋_GB2312" w:hAnsi="宋体" w:eastAsia="仿宋_GB2312" w:cs="宋体"/>
          <w:kern w:val="0"/>
          <w:sz w:val="32"/>
          <w:szCs w:val="32"/>
        </w:rPr>
        <w:t>亿元，</w:t>
      </w:r>
      <w:r>
        <w:rPr>
          <w:rFonts w:hint="eastAsia" w:ascii="仿宋_GB2312" w:hAnsi="仿宋_GB2312" w:eastAsia="仿宋_GB2312" w:cs="仿宋_GB2312"/>
          <w:sz w:val="32"/>
          <w:szCs w:val="32"/>
        </w:rPr>
        <w:t>主要监管指标持续达标，机构人员、网点、存贷款市场份额居全区银行业前列。</w:t>
      </w:r>
    </w:p>
    <w:p>
      <w:pPr>
        <w:adjustRightInd w:val="0"/>
        <w:snapToGrid w:val="0"/>
        <w:spacing w:line="54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在绿色金融发展方面，本行积极践行绿色发展理念，将其深度融入企业愿景、发展战略、信贷文化、政策制度、管理流程、产品服务等各个环节，在年度基本授信政策总体导向上强调从战略高度推进绿色信贷，加快构建绿色金融服务体系，加大对绿色经济、低碳经济、循环经济的支持，持续推进绿色金融管理制度和长效机制的建立和完善。在日常运营中，本行坚持经济效益、社会效益和生态效益的有机统一，不断推动融资结构的“绿色调整”；坚持绿色营运，推行“绿色、节能、环保”的运营理念，倡导与生态相协调的生产生活方式，持续加强自身节能减排工作，努力为社会和环境的和谐发展贡献力量。</w:t>
      </w:r>
    </w:p>
    <w:p>
      <w:pPr>
        <w:adjustRightInd w:val="0"/>
        <w:snapToGrid w:val="0"/>
        <w:spacing w:line="540" w:lineRule="exact"/>
        <w:ind w:firstLine="640" w:firstLineChars="200"/>
        <w:rPr>
          <w:rFonts w:ascii="楷体" w:hAnsi="楷体" w:eastAsia="楷体" w:cs="仿宋_GB2312"/>
          <w:sz w:val="32"/>
          <w:szCs w:val="32"/>
        </w:rPr>
      </w:pPr>
      <w:r>
        <w:rPr>
          <w:rFonts w:hint="eastAsia" w:ascii="楷体" w:hAnsi="楷体" w:eastAsia="楷体" w:cs="仿宋_GB2312"/>
          <w:sz w:val="32"/>
          <w:szCs w:val="32"/>
        </w:rPr>
        <w:t>（二）环境相关规划目标及行动成效</w:t>
      </w:r>
    </w:p>
    <w:p>
      <w:pPr>
        <w:widowControl/>
        <w:adjustRightInd w:val="0"/>
        <w:snapToGrid w:val="0"/>
        <w:spacing w:line="540" w:lineRule="exact"/>
        <w:ind w:firstLine="643" w:firstLineChars="200"/>
        <w:rPr>
          <w:rFonts w:ascii="仿宋_GB2312" w:hAnsi="宋体" w:eastAsia="仿宋_GB2312" w:cs="仿宋_GB2312"/>
          <w:kern w:val="0"/>
          <w:sz w:val="32"/>
          <w:szCs w:val="32"/>
          <w:lang w:bidi="ar"/>
        </w:rPr>
      </w:pPr>
      <w:r>
        <w:rPr>
          <w:rFonts w:hint="eastAsia" w:ascii="仿宋_GB2312" w:hAnsi="仿宋_GB2312" w:eastAsia="仿宋_GB2312" w:cs="仿宋_GB2312"/>
          <w:b/>
          <w:bCs/>
          <w:kern w:val="0"/>
          <w:sz w:val="32"/>
          <w:szCs w:val="32"/>
          <w:lang w:bidi="ar"/>
        </w:rPr>
        <w:t>1.规划及目标。</w:t>
      </w:r>
      <w:r>
        <w:rPr>
          <w:rFonts w:hint="eastAsia" w:ascii="仿宋_GB2312" w:hAnsi="宋体" w:eastAsia="仿宋_GB2312" w:cs="仿宋_GB2312"/>
          <w:kern w:val="0"/>
          <w:sz w:val="32"/>
          <w:szCs w:val="32"/>
          <w:lang w:bidi="ar"/>
        </w:rPr>
        <w:t>以习总书记新时代中国特色社会主义思想为指导，全面贯彻落实习近平生态文明思想，践行“绿水青山就是金山银山”的新发展理念和“着力推进绿色发展、循环发展和低碳发展”的战略部署，牢固树立创新、协调、绿色、开放、共享的发展理念，立足本行实际，按照《龙岩农商银行“十四五”绿色金融工作方案》，大力推进绿色金融发展，围绕绿色、低碳、循环经济，支持生态农业、生态旅游、绿色服务业等领域发展，助力林业金融改革创新，全面推进绿色转型。</w:t>
      </w:r>
    </w:p>
    <w:p>
      <w:pPr>
        <w:widowControl/>
        <w:adjustRightInd w:val="0"/>
        <w:snapToGrid w:val="0"/>
        <w:spacing w:line="540" w:lineRule="exact"/>
        <w:ind w:firstLine="643" w:firstLineChars="200"/>
        <w:rPr>
          <w:rFonts w:ascii="仿宋_GB2312" w:hAnsi="仿宋_GB2312" w:eastAsia="仿宋_GB2312" w:cs="仿宋_GB2312"/>
          <w:b/>
          <w:bCs/>
          <w:kern w:val="0"/>
          <w:sz w:val="32"/>
          <w:szCs w:val="32"/>
          <w:lang w:bidi="ar"/>
        </w:rPr>
      </w:pPr>
      <w:r>
        <w:rPr>
          <w:rFonts w:hint="eastAsia" w:ascii="仿宋_GB2312" w:hAnsi="仿宋_GB2312" w:eastAsia="仿宋_GB2312" w:cs="仿宋_GB2312"/>
          <w:b/>
          <w:bCs/>
          <w:kern w:val="0"/>
          <w:sz w:val="32"/>
          <w:szCs w:val="32"/>
          <w:lang w:bidi="ar"/>
        </w:rPr>
        <w:t>2.行动成效</w:t>
      </w:r>
    </w:p>
    <w:p>
      <w:pPr>
        <w:widowControl/>
        <w:adjustRightInd w:val="0"/>
        <w:snapToGrid w:val="0"/>
        <w:spacing w:line="540" w:lineRule="exact"/>
        <w:ind w:firstLine="643" w:firstLineChars="200"/>
        <w:rPr>
          <w:rFonts w:ascii="仿宋_GB2312" w:hAnsi="宋体" w:eastAsia="仿宋_GB2312" w:cs="仿宋_GB2312"/>
          <w:kern w:val="0"/>
          <w:sz w:val="32"/>
          <w:szCs w:val="32"/>
          <w:lang w:bidi="ar"/>
        </w:rPr>
      </w:pPr>
      <w:r>
        <w:rPr>
          <w:rFonts w:hint="eastAsia" w:ascii="仿宋_GB2312" w:hAnsi="仿宋_GB2312" w:eastAsia="仿宋_GB2312" w:cs="仿宋_GB2312"/>
          <w:b/>
          <w:bCs/>
          <w:kern w:val="0"/>
          <w:sz w:val="32"/>
          <w:szCs w:val="32"/>
          <w:lang w:bidi="ar"/>
        </w:rPr>
        <w:t>（1）绿色信贷规模持续增长。</w:t>
      </w:r>
      <w:r>
        <w:rPr>
          <w:rFonts w:hint="eastAsia" w:ascii="仿宋_GB2312" w:hAnsi="宋体" w:eastAsia="仿宋_GB2312" w:cs="仿宋_GB2312"/>
          <w:kern w:val="0"/>
          <w:sz w:val="32"/>
          <w:szCs w:val="32"/>
          <w:lang w:bidi="ar"/>
        </w:rPr>
        <w:t>持续推广“党建+金融助理+多社融合”的服务模式，按照可持续发展要求，加大绿色重点领域信贷支持力度，全力满足重点领域绿色金融需求，</w:t>
      </w:r>
      <w:r>
        <w:rPr>
          <w:rFonts w:hint="eastAsia" w:ascii="仿宋_GB2312" w:hAnsi="仿宋_GB2312" w:eastAsia="仿宋_GB2312" w:cs="仿宋_GB2312"/>
          <w:sz w:val="32"/>
          <w:szCs w:val="32"/>
        </w:rPr>
        <w:t>截至2024年末，本行绿色信贷余额8.26亿元，比年初增加1.96亿元，增幅达31.09%；绿色信贷户数6480户，较年初增加10户；全行绿色信贷占比达5.53%，较上年末提升1.06%。</w:t>
      </w:r>
    </w:p>
    <w:p>
      <w:pPr>
        <w:widowControl/>
        <w:adjustRightInd w:val="0"/>
        <w:snapToGrid w:val="0"/>
        <w:spacing w:line="540" w:lineRule="exact"/>
        <w:ind w:firstLine="643" w:firstLineChars="200"/>
        <w:rPr>
          <w:rFonts w:ascii="仿宋_GB2312" w:hAnsi="宋体" w:eastAsia="仿宋_GB2312"/>
          <w:sz w:val="32"/>
          <w:szCs w:val="32"/>
        </w:rPr>
      </w:pPr>
      <w:r>
        <w:rPr>
          <w:rFonts w:hint="eastAsia" w:ascii="仿宋_GB2312" w:hAnsi="仿宋_GB2312" w:eastAsia="仿宋_GB2312" w:cs="仿宋_GB2312"/>
          <w:b/>
          <w:bCs/>
          <w:kern w:val="0"/>
          <w:sz w:val="32"/>
          <w:szCs w:val="32"/>
          <w:lang w:bidi="ar"/>
        </w:rPr>
        <w:t>（2）绿色信贷产品持续丰富。</w:t>
      </w:r>
      <w:r>
        <w:rPr>
          <w:rFonts w:hint="eastAsia" w:ascii="仿宋_GB2312" w:hAnsi="宋体" w:eastAsia="仿宋_GB2312" w:cs="仿宋_GB2312"/>
          <w:kern w:val="0"/>
          <w:sz w:val="32"/>
          <w:szCs w:val="32"/>
          <w:lang w:bidi="ar"/>
        </w:rPr>
        <w:t>重点围绕龙岩地区资源优势，结合我行实际情况，因地制宜丰富绿色金融产品体系，在支持绿色农业方面，推行“福农直通贷”、“助农贷”、“乡村振兴贷”等信贷产品，同时因地制宜，结合龙岩花生、龙岩斜背茶等特色产业，推行“花茶贷”等特色产品贷款；支持绿色林业发展方面，推行“惠林贷”、“九龙江惠林卡”“林下</w:t>
      </w:r>
      <w:r>
        <w:rPr>
          <w:rFonts w:ascii="仿宋_GB2312" w:hAnsi="宋体" w:eastAsia="仿宋_GB2312" w:cs="仿宋_GB2312"/>
          <w:kern w:val="0"/>
          <w:sz w:val="32"/>
          <w:szCs w:val="32"/>
          <w:lang w:bidi="ar"/>
        </w:rPr>
        <w:t>经济经营权</w:t>
      </w:r>
      <w:r>
        <w:rPr>
          <w:rFonts w:hint="eastAsia" w:ascii="仿宋_GB2312" w:hAnsi="宋体" w:eastAsia="仿宋_GB2312" w:cs="仿宋_GB2312"/>
          <w:kern w:val="0"/>
          <w:sz w:val="32"/>
          <w:szCs w:val="32"/>
          <w:lang w:bidi="ar"/>
        </w:rPr>
        <w:t>贷款”等专项绿色金融产品，解决林农贷款难的问题；在支持节能减排和产业转型升级方面，推行“光伏贷”、“水电宝”等专项信贷产品，同时为九龙江流域保护修复拆除的养殖户的经营转型提供金融支持创新推出的“生态转型贷”信贷产品。</w:t>
      </w:r>
    </w:p>
    <w:p>
      <w:pPr>
        <w:widowControl/>
        <w:adjustRightInd w:val="0"/>
        <w:snapToGrid w:val="0"/>
        <w:spacing w:line="540" w:lineRule="exact"/>
        <w:ind w:firstLine="640" w:firstLineChars="200"/>
        <w:rPr>
          <w:rFonts w:ascii="仿宋_GB2312" w:hAnsi="宋体" w:eastAsia="仿宋_GB2312" w:cs="仿宋_GB2312"/>
          <w:kern w:val="0"/>
          <w:sz w:val="32"/>
          <w:szCs w:val="32"/>
          <w:lang w:bidi="ar"/>
        </w:rPr>
      </w:pPr>
      <w:r>
        <w:rPr>
          <w:rFonts w:hint="eastAsia" w:ascii="仿宋_GB2312" w:hAnsi="宋体" w:eastAsia="仿宋_GB2312" w:cs="仿宋_GB2312"/>
          <w:kern w:val="0"/>
          <w:sz w:val="32"/>
          <w:szCs w:val="32"/>
          <w:lang w:bidi="ar"/>
        </w:rPr>
        <w:t>截至2024年12月末，本行</w:t>
      </w:r>
      <w:r>
        <w:rPr>
          <w:rFonts w:ascii="仿宋_GB2312" w:hAnsi="宋体" w:eastAsia="仿宋_GB2312" w:cs="仿宋_GB2312"/>
          <w:kern w:val="0"/>
          <w:sz w:val="32"/>
          <w:szCs w:val="32"/>
          <w:lang w:bidi="ar"/>
        </w:rPr>
        <w:t>累计办理乡村</w:t>
      </w:r>
      <w:r>
        <w:rPr>
          <w:rFonts w:hint="eastAsia" w:ascii="仿宋_GB2312" w:hAnsi="宋体" w:eastAsia="仿宋_GB2312" w:cs="仿宋_GB2312"/>
          <w:kern w:val="0"/>
          <w:sz w:val="32"/>
          <w:szCs w:val="32"/>
          <w:lang w:bidi="ar"/>
        </w:rPr>
        <w:t>振兴</w:t>
      </w:r>
      <w:r>
        <w:rPr>
          <w:rFonts w:ascii="仿宋_GB2312" w:hAnsi="宋体" w:eastAsia="仿宋_GB2312" w:cs="仿宋_GB2312"/>
          <w:kern w:val="0"/>
          <w:sz w:val="32"/>
          <w:szCs w:val="32"/>
          <w:lang w:bidi="ar"/>
        </w:rPr>
        <w:t>贷</w:t>
      </w:r>
      <w:r>
        <w:rPr>
          <w:rFonts w:hint="eastAsia" w:ascii="仿宋_GB2312" w:hAnsi="宋体" w:eastAsia="仿宋_GB2312" w:cs="仿宋_GB2312"/>
          <w:kern w:val="0"/>
          <w:sz w:val="32"/>
          <w:szCs w:val="32"/>
          <w:lang w:bidi="ar"/>
        </w:rPr>
        <w:t>100户</w:t>
      </w:r>
      <w:r>
        <w:rPr>
          <w:rFonts w:ascii="仿宋_GB2312" w:hAnsi="宋体" w:eastAsia="仿宋_GB2312" w:cs="仿宋_GB2312"/>
          <w:kern w:val="0"/>
          <w:sz w:val="32"/>
          <w:szCs w:val="32"/>
          <w:lang w:bidi="ar"/>
        </w:rPr>
        <w:t>，金额</w:t>
      </w:r>
      <w:r>
        <w:rPr>
          <w:rFonts w:hint="eastAsia" w:ascii="仿宋_GB2312" w:hAnsi="宋体" w:eastAsia="仿宋_GB2312" w:cs="仿宋_GB2312"/>
          <w:kern w:val="0"/>
          <w:sz w:val="32"/>
          <w:szCs w:val="32"/>
          <w:lang w:bidi="ar"/>
        </w:rPr>
        <w:t>7940万元</w:t>
      </w:r>
      <w:r>
        <w:rPr>
          <w:rFonts w:ascii="仿宋_GB2312" w:hAnsi="宋体" w:eastAsia="仿宋_GB2312" w:cs="仿宋_GB2312"/>
          <w:kern w:val="0"/>
          <w:sz w:val="32"/>
          <w:szCs w:val="32"/>
          <w:lang w:bidi="ar"/>
        </w:rPr>
        <w:t>；</w:t>
      </w:r>
      <w:r>
        <w:rPr>
          <w:rFonts w:hint="eastAsia" w:ascii="仿宋_GB2312" w:hAnsi="宋体" w:eastAsia="仿宋_GB2312" w:cs="仿宋_GB2312"/>
          <w:kern w:val="0"/>
          <w:sz w:val="32"/>
          <w:szCs w:val="32"/>
          <w:lang w:bidi="ar"/>
        </w:rPr>
        <w:t>林权抵押贷款2户、金额450万元；本行存量九龙江惠林卡4997张，授信额度3.56亿元，用信余额2.43亿元；光伏贷贷款15户、金额68.15万元；发</w:t>
      </w:r>
      <w:r>
        <w:rPr>
          <w:rFonts w:hint="eastAsia" w:ascii="仿宋_GB2312" w:hAnsi="仿宋" w:eastAsia="仿宋_GB2312"/>
          <w:color w:val="000000"/>
          <w:sz w:val="32"/>
          <w:szCs w:val="32"/>
        </w:rPr>
        <w:t>放新型农业经营主体贷款</w:t>
      </w:r>
      <w:r>
        <w:rPr>
          <w:rFonts w:ascii="仿宋_GB2312" w:hAnsi="仿宋" w:eastAsia="仿宋_GB2312"/>
          <w:color w:val="000000"/>
          <w:sz w:val="32"/>
          <w:szCs w:val="32"/>
        </w:rPr>
        <w:t>1250</w:t>
      </w:r>
      <w:r>
        <w:rPr>
          <w:rFonts w:hint="eastAsia" w:ascii="仿宋_GB2312" w:hAnsi="仿宋" w:eastAsia="仿宋_GB2312"/>
          <w:color w:val="000000"/>
          <w:sz w:val="32"/>
          <w:szCs w:val="32"/>
        </w:rPr>
        <w:t>户、贷款余额</w:t>
      </w:r>
      <w:r>
        <w:rPr>
          <w:rFonts w:ascii="仿宋_GB2312" w:hAnsi="仿宋" w:eastAsia="仿宋_GB2312"/>
          <w:color w:val="000000"/>
          <w:sz w:val="32"/>
          <w:szCs w:val="32"/>
        </w:rPr>
        <w:t>5.98</w:t>
      </w:r>
      <w:r>
        <w:rPr>
          <w:rFonts w:hint="eastAsia" w:ascii="仿宋_GB2312" w:hAnsi="仿宋" w:eastAsia="仿宋_GB2312"/>
          <w:color w:val="000000"/>
          <w:sz w:val="32"/>
          <w:szCs w:val="32"/>
        </w:rPr>
        <w:t>亿元。</w:t>
      </w:r>
    </w:p>
    <w:p>
      <w:pPr>
        <w:widowControl/>
        <w:adjustRightInd w:val="0"/>
        <w:snapToGrid w:val="0"/>
        <w:spacing w:line="540" w:lineRule="exact"/>
        <w:ind w:firstLine="643" w:firstLineChars="200"/>
        <w:rPr>
          <w:rFonts w:ascii="仿宋_GB2312" w:hAnsi="仿宋_GB2312" w:eastAsia="仿宋_GB2312" w:cs="仿宋_GB2312"/>
          <w:b/>
          <w:bCs/>
          <w:kern w:val="0"/>
          <w:sz w:val="32"/>
          <w:szCs w:val="32"/>
          <w:lang w:bidi="ar"/>
        </w:rPr>
      </w:pPr>
      <w:r>
        <w:rPr>
          <w:rFonts w:hint="eastAsia" w:ascii="仿宋_GB2312" w:hAnsi="仿宋_GB2312" w:eastAsia="仿宋_GB2312" w:cs="仿宋_GB2312"/>
          <w:b/>
          <w:bCs/>
          <w:kern w:val="0"/>
          <w:sz w:val="32"/>
          <w:szCs w:val="32"/>
          <w:lang w:bidi="ar"/>
        </w:rPr>
        <w:t>（3）建立健全绿色金融服务体系</w:t>
      </w:r>
    </w:p>
    <w:p>
      <w:pPr>
        <w:widowControl/>
        <w:adjustRightInd w:val="0"/>
        <w:snapToGrid w:val="0"/>
        <w:spacing w:line="540" w:lineRule="exact"/>
        <w:ind w:firstLine="643" w:firstLineChars="200"/>
        <w:rPr>
          <w:rFonts w:ascii="仿宋_GB2312" w:hAnsi="宋体" w:eastAsia="仿宋_GB2312" w:cs="仿宋_GB2312"/>
          <w:kern w:val="0"/>
          <w:sz w:val="32"/>
          <w:szCs w:val="32"/>
          <w:lang w:bidi="ar"/>
        </w:rPr>
      </w:pPr>
      <w:r>
        <w:rPr>
          <w:rFonts w:hint="eastAsia" w:ascii="仿宋_GB2312" w:hAnsi="仿宋_GB2312" w:eastAsia="仿宋_GB2312" w:cs="仿宋_GB2312"/>
          <w:b/>
          <w:bCs/>
          <w:kern w:val="0"/>
          <w:sz w:val="32"/>
          <w:szCs w:val="32"/>
          <w:lang w:bidi="ar"/>
        </w:rPr>
        <w:t>一是加强组织保障。</w:t>
      </w:r>
      <w:r>
        <w:rPr>
          <w:rFonts w:hint="eastAsia" w:ascii="仿宋_GB2312" w:hAnsi="宋体" w:eastAsia="仿宋_GB2312" w:cs="仿宋_GB2312"/>
          <w:kern w:val="0"/>
          <w:sz w:val="32"/>
          <w:szCs w:val="32"/>
          <w:lang w:bidi="ar"/>
        </w:rPr>
        <w:t>建立绿色金融工作机制，成立绿色金融工作领导小组，分工明确、责任清晰，绿色金融工作领导小组下设办公室，挂靠普惠金融部，负责指导、推动、实施全行绿色金融工作。各网点成立绿色金融工作实施小组，负责绿色金融措施的推进、落实、信息反馈和提供典型素材等。其他部门配合绿色金融工作实施。</w:t>
      </w:r>
    </w:p>
    <w:p>
      <w:pPr>
        <w:widowControl/>
        <w:adjustRightInd w:val="0"/>
        <w:snapToGrid w:val="0"/>
        <w:spacing w:line="540" w:lineRule="exact"/>
        <w:ind w:firstLine="643" w:firstLineChars="200"/>
        <w:rPr>
          <w:rFonts w:ascii="仿宋_GB2312" w:eastAsia="仿宋_GB2312"/>
          <w:sz w:val="32"/>
          <w:szCs w:val="32"/>
        </w:rPr>
      </w:pPr>
      <w:r>
        <w:rPr>
          <w:rFonts w:hint="eastAsia" w:ascii="仿宋_GB2312" w:hAnsi="仿宋_GB2312" w:eastAsia="仿宋_GB2312" w:cs="仿宋_GB2312"/>
          <w:b/>
          <w:bCs/>
          <w:kern w:val="0"/>
          <w:sz w:val="32"/>
          <w:szCs w:val="32"/>
          <w:lang w:bidi="ar"/>
        </w:rPr>
        <w:t>二是纳入绩效考核评价体系。</w:t>
      </w:r>
      <w:r>
        <w:rPr>
          <w:rFonts w:hint="eastAsia" w:ascii="仿宋_GB2312" w:hAnsi="宋体" w:eastAsia="仿宋_GB2312" w:cs="仿宋_GB2312"/>
          <w:kern w:val="0"/>
          <w:sz w:val="32"/>
          <w:szCs w:val="32"/>
          <w:lang w:bidi="ar"/>
        </w:rPr>
        <w:t>明确绿色金融发展指标，将绿色贷款增长实现“四个不低于”作为绩效考核目标，鼓励加大绿色贷款投放。</w:t>
      </w:r>
    </w:p>
    <w:p>
      <w:pPr>
        <w:widowControl/>
        <w:adjustRightInd w:val="0"/>
        <w:snapToGrid w:val="0"/>
        <w:spacing w:line="540" w:lineRule="exact"/>
        <w:ind w:firstLine="643" w:firstLineChars="200"/>
        <w:rPr>
          <w:rFonts w:ascii="仿宋_GB2312" w:eastAsia="仿宋_GB2312"/>
          <w:sz w:val="32"/>
          <w:szCs w:val="32"/>
        </w:rPr>
      </w:pPr>
      <w:r>
        <w:rPr>
          <w:rFonts w:hint="eastAsia" w:ascii="仿宋_GB2312" w:hAnsi="仿宋_GB2312" w:eastAsia="仿宋_GB2312" w:cs="仿宋_GB2312"/>
          <w:b/>
          <w:bCs/>
          <w:kern w:val="0"/>
          <w:sz w:val="32"/>
          <w:szCs w:val="32"/>
          <w:lang w:bidi="ar"/>
        </w:rPr>
        <w:t>三是健全绿色信贷全流程管理机制。</w:t>
      </w:r>
      <w:r>
        <w:rPr>
          <w:rFonts w:hint="eastAsia" w:ascii="仿宋_GB2312" w:hAnsi="宋体" w:eastAsia="仿宋_GB2312" w:cs="仿宋_GB2312"/>
          <w:kern w:val="0"/>
          <w:sz w:val="32"/>
          <w:szCs w:val="32"/>
          <w:lang w:bidi="ar"/>
        </w:rPr>
        <w:t>以绿色标识为导向，建立绿色金融优先机制。优化授信和审批的流程，对符合绿色产业标准的客户，在风险可控的前提下，简化信贷流程、提高办贷效率，实行快审、快批、快贷，让绿色产业客户享受更加快捷便利的信贷服务，提高绿色产业的积极性。</w:t>
      </w:r>
    </w:p>
    <w:p>
      <w:pPr>
        <w:widowControl/>
        <w:adjustRightInd w:val="0"/>
        <w:snapToGrid w:val="0"/>
        <w:spacing w:line="540" w:lineRule="exact"/>
        <w:ind w:firstLine="643"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b/>
          <w:bCs/>
          <w:kern w:val="0"/>
          <w:sz w:val="32"/>
          <w:szCs w:val="32"/>
          <w:lang w:bidi="ar"/>
        </w:rPr>
        <w:t>四是加强风险管理。</w:t>
      </w:r>
      <w:r>
        <w:rPr>
          <w:rFonts w:hint="eastAsia" w:ascii="仿宋_GB2312" w:hAnsi="宋体" w:eastAsia="仿宋_GB2312" w:cs="仿宋_GB2312"/>
          <w:kern w:val="0"/>
          <w:sz w:val="32"/>
          <w:szCs w:val="32"/>
          <w:lang w:bidi="ar"/>
        </w:rPr>
        <w:t>加强对高污染、高能耗及产能过剩行业的信贷风险管控。对属于产业政策限制类的新增授信项目，从严从紧审批，对属于产业政策退出类的授信项目，严禁给予新增授信支持，对拟关停、淘汰的落后、过剩产能，做好信贷压缩、退出和资产保全工作</w:t>
      </w:r>
      <w:r>
        <w:rPr>
          <w:rFonts w:hint="eastAsia" w:ascii="仿宋_GB2312" w:hAnsi="仿宋_GB2312" w:eastAsia="仿宋_GB2312" w:cs="仿宋_GB2312"/>
          <w:kern w:val="0"/>
          <w:sz w:val="32"/>
          <w:szCs w:val="32"/>
          <w:lang w:bidi="ar"/>
        </w:rPr>
        <w:t>。</w:t>
      </w:r>
    </w:p>
    <w:p>
      <w:pPr>
        <w:adjustRightInd w:val="0"/>
        <w:snapToGrid w:val="0"/>
        <w:spacing w:line="540" w:lineRule="exact"/>
        <w:ind w:firstLine="640" w:firstLineChars="200"/>
        <w:rPr>
          <w:rFonts w:ascii="楷体" w:hAnsi="楷体" w:eastAsia="楷体" w:cs="仿宋_GB2312"/>
          <w:sz w:val="32"/>
          <w:szCs w:val="32"/>
        </w:rPr>
      </w:pPr>
      <w:r>
        <w:rPr>
          <w:rFonts w:hint="eastAsia" w:ascii="楷体" w:hAnsi="楷体" w:eastAsia="楷体" w:cs="仿宋_GB2312"/>
          <w:sz w:val="32"/>
          <w:szCs w:val="32"/>
        </w:rPr>
        <w:t>（三）下一年度规划与目标</w:t>
      </w:r>
    </w:p>
    <w:p>
      <w:pPr>
        <w:widowControl/>
        <w:adjustRightInd w:val="0"/>
        <w:snapToGrid w:val="0"/>
        <w:spacing w:line="540" w:lineRule="exact"/>
        <w:ind w:firstLine="643"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b/>
          <w:bCs/>
          <w:kern w:val="0"/>
          <w:sz w:val="32"/>
          <w:szCs w:val="32"/>
          <w:lang w:bidi="ar"/>
        </w:rPr>
        <w:t>1.绿色信贷总量稳步提升。</w:t>
      </w:r>
      <w:r>
        <w:rPr>
          <w:rFonts w:hint="eastAsia" w:ascii="仿宋_GB2312" w:hAnsi="仿宋_GB2312" w:eastAsia="仿宋_GB2312" w:cs="仿宋_GB2312"/>
          <w:kern w:val="0"/>
          <w:sz w:val="32"/>
          <w:szCs w:val="32"/>
          <w:lang w:bidi="ar"/>
        </w:rPr>
        <w:t>持续加大绿色领域信贷投放力度，确保绿色信贷增速高于各项贷款平均增速，绿色信贷增量高于上年同期水平，绿色信贷户数高于上年同期水平，绿色信贷余额占各项贷款比重比上年提升幅度不低于1个百分点，实现绿色信贷增长“四个不低于”目标。</w:t>
      </w:r>
    </w:p>
    <w:p>
      <w:pPr>
        <w:widowControl/>
        <w:adjustRightInd w:val="0"/>
        <w:snapToGrid w:val="0"/>
        <w:spacing w:line="540" w:lineRule="exact"/>
        <w:ind w:firstLine="643"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b/>
          <w:bCs/>
          <w:kern w:val="0"/>
          <w:sz w:val="32"/>
          <w:szCs w:val="32"/>
          <w:lang w:bidi="ar"/>
        </w:rPr>
        <w:t>2.加大绿色信贷产品创新力度。</w:t>
      </w:r>
      <w:r>
        <w:rPr>
          <w:rFonts w:hint="eastAsia" w:ascii="仿宋_GB2312" w:hAnsi="仿宋_GB2312" w:eastAsia="仿宋_GB2312" w:cs="仿宋_GB2312"/>
          <w:kern w:val="0"/>
          <w:sz w:val="32"/>
          <w:szCs w:val="32"/>
          <w:lang w:bidi="ar"/>
        </w:rPr>
        <w:t>结合我行实际情况，以改造现有产品和创新新产品的方式，因地制宜创新产品及服务，</w:t>
      </w:r>
      <w:r>
        <w:rPr>
          <w:rFonts w:hint="eastAsia" w:ascii="仿宋_GB2312" w:hAnsi="宋体" w:eastAsia="仿宋_GB2312" w:cs="仿宋_GB2312"/>
          <w:kern w:val="0"/>
          <w:sz w:val="32"/>
          <w:szCs w:val="32"/>
          <w:lang w:bidi="ar"/>
        </w:rPr>
        <w:t>进一步丰富推广</w:t>
      </w:r>
      <w:r>
        <w:rPr>
          <w:rFonts w:hint="eastAsia" w:ascii="仿宋_GB2312" w:hAnsi="宋体" w:eastAsia="仿宋_GB2312" w:cs="宋体"/>
          <w:kern w:val="0"/>
          <w:sz w:val="32"/>
          <w:szCs w:val="32"/>
          <w:lang w:bidi="ar"/>
        </w:rPr>
        <w:t>“</w:t>
      </w:r>
      <w:r>
        <w:rPr>
          <w:rFonts w:hint="eastAsia" w:ascii="仿宋_GB2312" w:hAnsi="宋体" w:eastAsia="仿宋_GB2312" w:cs="仿宋_GB2312"/>
          <w:kern w:val="0"/>
          <w:sz w:val="32"/>
          <w:szCs w:val="32"/>
          <w:lang w:bidi="ar"/>
        </w:rPr>
        <w:t>五福</w:t>
      </w:r>
      <w:r>
        <w:rPr>
          <w:rFonts w:hint="eastAsia" w:ascii="仿宋_GB2312" w:hAnsi="宋体" w:eastAsia="仿宋_GB2312" w:cs="宋体"/>
          <w:kern w:val="0"/>
          <w:sz w:val="32"/>
          <w:szCs w:val="32"/>
          <w:lang w:bidi="ar"/>
        </w:rPr>
        <w:t>”</w:t>
      </w:r>
      <w:r>
        <w:rPr>
          <w:rFonts w:hint="eastAsia" w:ascii="仿宋_GB2312" w:hAnsi="宋体" w:eastAsia="仿宋_GB2312" w:cs="仿宋_GB2312"/>
          <w:kern w:val="0"/>
          <w:sz w:val="32"/>
          <w:szCs w:val="32"/>
          <w:lang w:bidi="ar"/>
        </w:rPr>
        <w:t>系列产品</w:t>
      </w:r>
      <w:r>
        <w:rPr>
          <w:rFonts w:hint="eastAsia" w:ascii="仿宋_GB2312" w:hAnsi="仿宋_GB2312" w:eastAsia="仿宋_GB2312" w:cs="仿宋_GB2312"/>
          <w:kern w:val="0"/>
          <w:sz w:val="32"/>
          <w:szCs w:val="32"/>
          <w:lang w:bidi="ar"/>
        </w:rPr>
        <w:t>，探索林权抵押、碳排放、绿色餐饮等方面专项信贷产品。</w:t>
      </w:r>
    </w:p>
    <w:p>
      <w:pPr>
        <w:pStyle w:val="2"/>
        <w:adjustRightInd w:val="0"/>
        <w:snapToGrid w:val="0"/>
        <w:spacing w:line="540" w:lineRule="exact"/>
        <w:ind w:firstLine="643" w:firstLineChars="200"/>
        <w:rPr>
          <w:rFonts w:ascii="仿宋_GB2312" w:eastAsia="仿宋_GB2312"/>
          <w:sz w:val="32"/>
          <w:szCs w:val="32"/>
        </w:rPr>
      </w:pPr>
      <w:r>
        <w:rPr>
          <w:rFonts w:hint="eastAsia" w:ascii="仿宋_GB2312" w:hAnsi="仿宋_GB2312" w:eastAsia="仿宋_GB2312" w:cs="仿宋_GB2312"/>
          <w:b/>
          <w:bCs/>
          <w:kern w:val="0"/>
          <w:sz w:val="32"/>
          <w:szCs w:val="32"/>
          <w:lang w:bidi="ar"/>
        </w:rPr>
        <w:t>3.整合资源发展绿色金融。</w:t>
      </w:r>
      <w:r>
        <w:rPr>
          <w:rFonts w:hint="eastAsia" w:ascii="仿宋_GB2312" w:hAnsi="仿宋" w:eastAsia="仿宋_GB2312" w:cs="宋体"/>
          <w:sz w:val="32"/>
          <w:szCs w:val="32"/>
        </w:rPr>
        <w:t>深化</w:t>
      </w:r>
      <w:r>
        <w:rPr>
          <w:rFonts w:hint="eastAsia" w:ascii="仿宋_GB2312" w:hAnsi="仿宋" w:eastAsia="仿宋_GB2312" w:cs="仿宋"/>
          <w:sz w:val="32"/>
          <w:szCs w:val="32"/>
        </w:rPr>
        <w:t>与地方党政、林业主管部门及企业沟通合作，以</w:t>
      </w:r>
      <w:r>
        <w:rPr>
          <w:rFonts w:hint="eastAsia" w:ascii="仿宋_GB2312" w:hAnsi="仿宋" w:eastAsia="仿宋_GB2312" w:cs="宋体"/>
          <w:sz w:val="32"/>
          <w:szCs w:val="32"/>
        </w:rPr>
        <w:t>“福农综合服务平台”和市、县、乡、村建立四级林长体系为抓手，加大“政银村企农”的多级多基联动力度，打破信息壁垒，把分散的要素、零散的数据、多元的人才整合、凝聚起来，</w:t>
      </w:r>
      <w:r>
        <w:rPr>
          <w:rFonts w:hint="eastAsia" w:ascii="仿宋_GB2312" w:hAnsi="仿宋" w:eastAsia="仿宋_GB2312"/>
          <w:sz w:val="32"/>
          <w:szCs w:val="32"/>
        </w:rPr>
        <w:t>构建</w:t>
      </w:r>
      <w:r>
        <w:rPr>
          <w:rFonts w:hint="eastAsia" w:ascii="仿宋_GB2312" w:hAnsi="仿宋" w:eastAsia="仿宋_GB2312" w:cs="宋体"/>
          <w:sz w:val="32"/>
          <w:szCs w:val="32"/>
        </w:rPr>
        <w:t>“绿色产业+金融服务+金融产业”的绿色服务体系，</w:t>
      </w:r>
      <w:r>
        <w:rPr>
          <w:rFonts w:hint="eastAsia" w:ascii="仿宋_GB2312" w:hAnsi="仿宋" w:eastAsia="仿宋_GB2312"/>
          <w:sz w:val="32"/>
          <w:szCs w:val="32"/>
        </w:rPr>
        <w:t>形成数智化服务体系，实现资源变资本。</w:t>
      </w:r>
    </w:p>
    <w:p>
      <w:pPr>
        <w:adjustRightInd w:val="0"/>
        <w:snapToGrid w:val="0"/>
        <w:spacing w:line="540" w:lineRule="exact"/>
        <w:ind w:firstLine="640" w:firstLineChars="200"/>
        <w:outlineLvl w:val="0"/>
        <w:rPr>
          <w:rFonts w:ascii="黑体" w:hAnsi="黑体" w:eastAsia="黑体" w:cs="仿宋"/>
          <w:sz w:val="32"/>
          <w:szCs w:val="32"/>
        </w:rPr>
      </w:pPr>
      <w:r>
        <w:rPr>
          <w:rFonts w:hint="eastAsia" w:ascii="黑体" w:hAnsi="黑体" w:eastAsia="黑体" w:cs="仿宋"/>
          <w:sz w:val="32"/>
          <w:szCs w:val="32"/>
        </w:rPr>
        <w:t>三、环境</w:t>
      </w:r>
      <w:r>
        <w:rPr>
          <w:rFonts w:ascii="黑体" w:hAnsi="黑体" w:eastAsia="黑体" w:cs="仿宋"/>
          <w:sz w:val="32"/>
          <w:szCs w:val="32"/>
        </w:rPr>
        <w:t>相关</w:t>
      </w:r>
      <w:r>
        <w:rPr>
          <w:rFonts w:hint="eastAsia" w:ascii="黑体" w:hAnsi="黑体" w:eastAsia="黑体" w:cs="仿宋"/>
          <w:sz w:val="32"/>
          <w:szCs w:val="32"/>
        </w:rPr>
        <w:t>治理结构</w:t>
      </w:r>
    </w:p>
    <w:p>
      <w:pPr>
        <w:widowControl/>
        <w:adjustRightInd w:val="0"/>
        <w:snapToGrid w:val="0"/>
        <w:spacing w:line="540" w:lineRule="exact"/>
        <w:ind w:firstLine="640" w:firstLineChars="200"/>
        <w:rPr>
          <w:rFonts w:ascii="仿宋_GB2312" w:hAnsi="宋体" w:eastAsia="仿宋_GB2312" w:cs="仿宋_GB2312"/>
          <w:kern w:val="0"/>
          <w:sz w:val="32"/>
          <w:szCs w:val="32"/>
          <w:lang w:bidi="ar"/>
        </w:rPr>
      </w:pPr>
      <w:r>
        <w:rPr>
          <w:rFonts w:hint="eastAsia" w:ascii="仿宋_GB2312" w:hAnsi="仿宋_GB2312" w:eastAsia="仿宋_GB2312" w:cs="仿宋_GB2312"/>
          <w:kern w:val="0"/>
          <w:sz w:val="32"/>
          <w:szCs w:val="32"/>
          <w:lang w:bidi="ar"/>
        </w:rPr>
        <w:t>本行设立绿色金融工作领导小组，由董事长担任组长，行长及副行长任副组长，各支行、部室负责人任成员。</w:t>
      </w:r>
      <w:r>
        <w:rPr>
          <w:rFonts w:ascii="仿宋_GB2312" w:hAnsi="宋体" w:eastAsia="仿宋_GB2312" w:cs="仿宋_GB2312"/>
          <w:kern w:val="0"/>
          <w:sz w:val="32"/>
          <w:szCs w:val="32"/>
          <w:lang w:bidi="ar"/>
        </w:rPr>
        <w:t>绿色金融工作领导小组下设办公室，挂靠</w:t>
      </w:r>
      <w:r>
        <w:rPr>
          <w:rFonts w:hint="eastAsia" w:ascii="仿宋_GB2312" w:hAnsi="宋体" w:eastAsia="仿宋_GB2312" w:cs="仿宋_GB2312"/>
          <w:kern w:val="0"/>
          <w:sz w:val="32"/>
          <w:szCs w:val="32"/>
          <w:lang w:bidi="ar"/>
        </w:rPr>
        <w:t>普惠金融部</w:t>
      </w:r>
      <w:r>
        <w:rPr>
          <w:rFonts w:ascii="仿宋_GB2312" w:hAnsi="宋体" w:eastAsia="仿宋_GB2312" w:cs="仿宋_GB2312"/>
          <w:kern w:val="0"/>
          <w:sz w:val="32"/>
          <w:szCs w:val="32"/>
          <w:lang w:bidi="ar"/>
        </w:rPr>
        <w:t>，负责指导、推动、实施全行绿色金融工作</w:t>
      </w:r>
      <w:r>
        <w:rPr>
          <w:rFonts w:hint="eastAsia" w:ascii="仿宋_GB2312" w:hAnsi="宋体" w:eastAsia="仿宋_GB2312" w:cs="仿宋_GB2312"/>
          <w:kern w:val="0"/>
          <w:sz w:val="32"/>
          <w:szCs w:val="32"/>
          <w:lang w:bidi="ar"/>
        </w:rPr>
        <w:t>，并定期跟踪监测、通报各项工作进度，确保各项工作落实到位</w:t>
      </w:r>
      <w:r>
        <w:rPr>
          <w:rFonts w:ascii="仿宋_GB2312" w:hAnsi="宋体" w:eastAsia="仿宋_GB2312" w:cs="仿宋_GB2312"/>
          <w:kern w:val="0"/>
          <w:sz w:val="32"/>
          <w:szCs w:val="32"/>
          <w:lang w:bidi="ar"/>
        </w:rPr>
        <w:t>。各网点成立绿色金融工作实施小组，负责绿色金融措施的推进、落实、信息反馈和提供典型素材等。其他部门配合绿色金融工作实施。</w:t>
      </w:r>
    </w:p>
    <w:p>
      <w:pPr>
        <w:adjustRightInd w:val="0"/>
        <w:snapToGrid w:val="0"/>
        <w:spacing w:line="540" w:lineRule="exact"/>
        <w:ind w:firstLine="640" w:firstLineChars="200"/>
        <w:outlineLvl w:val="0"/>
        <w:rPr>
          <w:rFonts w:ascii="黑体" w:hAnsi="黑体" w:eastAsia="黑体" w:cs="仿宋"/>
          <w:sz w:val="32"/>
          <w:szCs w:val="32"/>
        </w:rPr>
      </w:pPr>
      <w:bookmarkStart w:id="5" w:name="_Toc17038"/>
      <w:bookmarkStart w:id="6" w:name="_Toc7928"/>
      <w:bookmarkStart w:id="7" w:name="_Toc10842"/>
      <w:r>
        <w:rPr>
          <w:rFonts w:hint="eastAsia" w:ascii="黑体" w:hAnsi="黑体" w:eastAsia="黑体" w:cs="仿宋"/>
          <w:sz w:val="32"/>
          <w:szCs w:val="32"/>
        </w:rPr>
        <w:t>四、环境相关政策制度</w:t>
      </w:r>
      <w:bookmarkEnd w:id="5"/>
      <w:bookmarkEnd w:id="6"/>
      <w:bookmarkEnd w:id="7"/>
    </w:p>
    <w:p>
      <w:pPr>
        <w:widowControl/>
        <w:adjustRightInd w:val="0"/>
        <w:snapToGrid w:val="0"/>
        <w:spacing w:line="540" w:lineRule="exact"/>
        <w:ind w:firstLine="640" w:firstLineChars="200"/>
        <w:rPr>
          <w:rFonts w:ascii="仿宋_GB2312" w:hAnsi="宋体" w:eastAsia="仿宋_GB2312" w:cs="仿宋_GB2312"/>
          <w:kern w:val="0"/>
          <w:sz w:val="32"/>
          <w:szCs w:val="32"/>
          <w:lang w:bidi="ar"/>
        </w:rPr>
      </w:pPr>
      <w:bookmarkStart w:id="8" w:name="_Toc23634"/>
      <w:bookmarkStart w:id="9" w:name="_Toc17569"/>
      <w:bookmarkStart w:id="10" w:name="_Toc30022"/>
      <w:r>
        <w:rPr>
          <w:rFonts w:hint="eastAsia" w:ascii="仿宋_GB2312" w:hAnsi="宋体" w:eastAsia="仿宋_GB2312" w:cs="仿宋_GB2312"/>
          <w:kern w:val="0"/>
          <w:sz w:val="32"/>
          <w:szCs w:val="32"/>
          <w:lang w:bidi="ar"/>
        </w:rPr>
        <w:t>本行认真贯彻人民银行等7部委《关于构建绿色金融体系的指导意见》（银发〔2016〕228号）、《银行业保险业绿色金融指引》（银保监发〔2022〕15号）、《龙岩市绿色金融发展专项行动方案》（岩银〔2022〕20号）、《推进绿色金融支持龙岩碳达峰、碳中和工作方案》（银保监发〔2023〕3号）、《金融机构环境信息披露指南》、《中国人民银行福建省分行关于推进福建省金融机构环境信息披露工作的通知》（闽银〔2023〕44号）及省联社有关文件精神，本行制定的《龙岩农商银行“十四五”</w:t>
      </w:r>
      <w:r>
        <w:rPr>
          <w:rFonts w:ascii="仿宋_GB2312" w:hAnsi="宋体" w:eastAsia="仿宋_GB2312" w:cs="仿宋_GB2312"/>
          <w:kern w:val="0"/>
          <w:sz w:val="32"/>
          <w:szCs w:val="32"/>
          <w:lang w:bidi="ar"/>
        </w:rPr>
        <w:t>绿色金融工作方案</w:t>
      </w:r>
      <w:r>
        <w:rPr>
          <w:rFonts w:hint="eastAsia" w:ascii="仿宋_GB2312" w:hAnsi="宋体" w:eastAsia="仿宋_GB2312" w:cs="仿宋_GB2312"/>
          <w:kern w:val="0"/>
          <w:sz w:val="32"/>
          <w:szCs w:val="32"/>
          <w:lang w:bidi="ar"/>
        </w:rPr>
        <w:t>》，将绿色发展融入公司治理，推进向绿色银行发展转型。</w:t>
      </w:r>
      <w:bookmarkEnd w:id="8"/>
      <w:bookmarkEnd w:id="9"/>
      <w:bookmarkEnd w:id="10"/>
    </w:p>
    <w:p>
      <w:pPr>
        <w:adjustRightInd w:val="0"/>
        <w:snapToGrid w:val="0"/>
        <w:spacing w:line="540" w:lineRule="exact"/>
        <w:ind w:firstLine="640" w:firstLineChars="200"/>
        <w:outlineLvl w:val="0"/>
        <w:rPr>
          <w:rFonts w:ascii="黑体" w:hAnsi="黑体" w:eastAsia="黑体" w:cs="仿宋"/>
          <w:sz w:val="32"/>
          <w:szCs w:val="32"/>
        </w:rPr>
      </w:pPr>
      <w:r>
        <w:rPr>
          <w:rFonts w:hint="eastAsia" w:ascii="黑体" w:hAnsi="黑体" w:eastAsia="黑体" w:cs="仿宋"/>
          <w:sz w:val="32"/>
          <w:szCs w:val="32"/>
        </w:rPr>
        <w:t>五</w:t>
      </w:r>
      <w:r>
        <w:rPr>
          <w:rFonts w:ascii="黑体" w:hAnsi="黑体" w:eastAsia="黑体" w:cs="仿宋"/>
          <w:sz w:val="32"/>
          <w:szCs w:val="32"/>
        </w:rPr>
        <w:t>、</w:t>
      </w:r>
      <w:r>
        <w:rPr>
          <w:rFonts w:hint="eastAsia" w:ascii="黑体" w:hAnsi="黑体" w:eastAsia="黑体" w:cs="仿宋"/>
          <w:sz w:val="32"/>
          <w:szCs w:val="32"/>
        </w:rPr>
        <w:t>环境</w:t>
      </w:r>
      <w:r>
        <w:rPr>
          <w:rFonts w:ascii="黑体" w:hAnsi="黑体" w:eastAsia="黑体" w:cs="仿宋"/>
          <w:sz w:val="32"/>
          <w:szCs w:val="32"/>
        </w:rPr>
        <w:t>相关产品与服务创新</w:t>
      </w:r>
    </w:p>
    <w:p>
      <w:pPr>
        <w:widowControl/>
        <w:adjustRightInd w:val="0"/>
        <w:snapToGrid w:val="0"/>
        <w:spacing w:line="540" w:lineRule="exact"/>
        <w:ind w:firstLine="640" w:firstLineChars="200"/>
        <w:rPr>
          <w:rFonts w:ascii="仿宋_GB2312" w:hAnsi="仿宋_GB2312" w:eastAsia="仿宋_GB2312" w:cs="仿宋_GB2312"/>
          <w:kern w:val="0"/>
          <w:sz w:val="32"/>
          <w:szCs w:val="32"/>
          <w:lang w:bidi="ar"/>
        </w:rPr>
      </w:pPr>
      <w:r>
        <w:rPr>
          <w:rFonts w:hint="eastAsia" w:ascii="楷体" w:hAnsi="楷体" w:eastAsia="楷体" w:cs="仿宋_GB2312"/>
          <w:sz w:val="32"/>
          <w:szCs w:val="32"/>
        </w:rPr>
        <w:t>（一）“惠林卡”升级。</w:t>
      </w:r>
      <w:r>
        <w:rPr>
          <w:rFonts w:hint="eastAsia" w:ascii="仿宋_GB2312" w:hAnsi="宋体" w:eastAsia="仿宋_GB2312" w:cs="宋体"/>
          <w:sz w:val="32"/>
          <w:szCs w:val="32"/>
        </w:rPr>
        <w:t>在“普惠金融·惠林卡”基础上升级推出的普惠性流域治理专属金融产品，为九龙江流域范围从事林业、林下经济、林业小微企业等林业产业、流域管理、生态保护等产业的有关参与主体提供金融支持，具有一次性授信、贷款期限长、贷款额度大、贷款利率优惠、贷款手续简便、循环使用、随贷随还等特点，更好地为</w:t>
      </w:r>
      <w:r>
        <w:rPr>
          <w:rFonts w:hint="eastAsia" w:ascii="仿宋_GB2312" w:hAnsi="仿宋" w:eastAsia="仿宋_GB2312" w:cs="仿宋"/>
          <w:bCs/>
          <w:kern w:val="0"/>
          <w:sz w:val="32"/>
          <w:szCs w:val="32"/>
        </w:rPr>
        <w:t>林农解决融资难、融资成本高等问题</w:t>
      </w:r>
      <w:r>
        <w:rPr>
          <w:rFonts w:hint="eastAsia" w:ascii="仿宋_GB2312" w:hAnsi="宋体" w:eastAsia="仿宋_GB2312" w:cs="宋体"/>
          <w:sz w:val="32"/>
          <w:szCs w:val="32"/>
        </w:rPr>
        <w:t>。</w:t>
      </w:r>
    </w:p>
    <w:p>
      <w:pPr>
        <w:pStyle w:val="2"/>
        <w:adjustRightInd w:val="0"/>
        <w:snapToGrid w:val="0"/>
        <w:spacing w:line="540" w:lineRule="exact"/>
        <w:ind w:firstLine="640" w:firstLineChars="200"/>
        <w:rPr>
          <w:rFonts w:ascii="仿宋_GB2312" w:eastAsia="仿宋_GB2312"/>
          <w:sz w:val="32"/>
          <w:szCs w:val="32"/>
        </w:rPr>
      </w:pPr>
      <w:r>
        <w:rPr>
          <w:rFonts w:hint="eastAsia" w:ascii="楷体" w:hAnsi="楷体" w:eastAsia="楷体" w:cs="仿宋_GB2312"/>
          <w:sz w:val="32"/>
          <w:szCs w:val="32"/>
        </w:rPr>
        <w:t>（二）探索创新服务模式。</w:t>
      </w:r>
      <w:r>
        <w:rPr>
          <w:rFonts w:hint="eastAsia" w:ascii="仿宋_GB2312" w:hAnsi="宋体" w:eastAsia="仿宋_GB2312" w:cs="宋体"/>
          <w:sz w:val="32"/>
          <w:szCs w:val="32"/>
        </w:rPr>
        <w:t>继续做好与担保机构合作，积极推广“机构联动”“银担合作”“银税互动”等信贷模式，构建风险共担、价值共享的服务体系，加强林业金融改革创新，创新“福林贷”风险分担机制，与区林业局签订战略合作协议，积极促成龙津担保公司与区林业局签订风险共担协议，与我行合作开展林业中小微企业和林农贷款业务，探索“福林贷”的“林权收储+担保公司担保”三方新合作模式，助推林业金融可持续发展。</w:t>
      </w:r>
    </w:p>
    <w:p>
      <w:pPr>
        <w:widowControl/>
        <w:adjustRightInd w:val="0"/>
        <w:snapToGrid w:val="0"/>
        <w:spacing w:line="540" w:lineRule="exact"/>
        <w:ind w:firstLine="640" w:firstLineChars="200"/>
        <w:rPr>
          <w:rFonts w:ascii="仿宋_GB2312" w:hAnsi="仿宋_GB2312" w:eastAsia="仿宋_GB2312" w:cs="仿宋_GB2312"/>
          <w:kern w:val="0"/>
          <w:sz w:val="32"/>
          <w:szCs w:val="32"/>
          <w:lang w:bidi="ar"/>
        </w:rPr>
      </w:pPr>
      <w:r>
        <w:rPr>
          <w:rFonts w:hint="eastAsia" w:ascii="楷体" w:hAnsi="楷体" w:eastAsia="楷体" w:cs="仿宋_GB2312"/>
          <w:sz w:val="32"/>
          <w:szCs w:val="32"/>
        </w:rPr>
        <w:t>（三）探索“福股贷”模式。</w:t>
      </w:r>
      <w:r>
        <w:rPr>
          <w:rFonts w:hint="eastAsia" w:ascii="仿宋_GB2312" w:hAnsi="宋体" w:eastAsia="仿宋_GB2312" w:cs="宋体"/>
          <w:sz w:val="32"/>
          <w:szCs w:val="32"/>
        </w:rPr>
        <w:t>为进一步激活农村经济活力，我行紧抓我区农村产权制度改革的契机，以盘活农村集体资产股权为出发点，我行与全区所有村集体股份经济合作社签订“战略合作协议”，各基层网点以金融助理驻村服务为抓手，从挖掘客户、优化服务着手，结合整村授信工作，通过相关部门及时掌握已确权颁证的农户名单，对符合贷款准入条件的农户进行定向摸排，由金融助理逐户上门对接，面对面推介股权质押贷款，对有资金需求的村民应贷尽贷，并进一步简化贷款手续，资料从简收集，实行限时办结制和“一站式”服务，真正做到“贷得出、贷得准、贷得快”，推进增户扩面，不断提升“绿色金融”覆盖面。</w:t>
      </w:r>
    </w:p>
    <w:p>
      <w:pPr>
        <w:adjustRightInd w:val="0"/>
        <w:snapToGrid w:val="0"/>
        <w:spacing w:line="540" w:lineRule="exact"/>
        <w:ind w:firstLine="640" w:firstLineChars="200"/>
        <w:rPr>
          <w:rFonts w:ascii="楷体" w:hAnsi="楷体" w:eastAsia="楷体" w:cs="仿宋_GB2312"/>
          <w:sz w:val="32"/>
          <w:szCs w:val="32"/>
        </w:rPr>
      </w:pPr>
      <w:r>
        <w:rPr>
          <w:rFonts w:hint="eastAsia" w:ascii="楷体" w:hAnsi="楷体" w:eastAsia="楷体" w:cs="仿宋_GB2312"/>
          <w:sz w:val="32"/>
          <w:szCs w:val="32"/>
        </w:rPr>
        <w:t>（四）绿色信贷案例</w:t>
      </w:r>
    </w:p>
    <w:p>
      <w:pPr>
        <w:widowControl/>
        <w:adjustRightInd w:val="0"/>
        <w:snapToGrid w:val="0"/>
        <w:spacing w:line="540" w:lineRule="exact"/>
        <w:ind w:firstLine="620"/>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龙岩某黑猪农业公司成立于2024年5月17日，公司始终秉持“绿水青山就是金山银山”理念，致力于在生猪养殖中实现经济与生态效益的统一。公司承包的大池镇某猪场手续完备，符合环保要求，建有10余幢猪舍，存栏母猪1300头、商品猪1000头，规模较大。2024年10月，公司因购买饲料急需资金。我行金融助理第一时间上门对接，开通绿色通道，快速完成审批并发放200万元贷款。这不仅节约了企业融资成本，更保障了猪场环保养殖模式的延续，避免因资金短缺导致养殖规模缩减或标准降低，维护了当地生态环境，助力乡村绿色产业发展，推动集体增收、村民致富。此次案例彰显了我行在服务乡村振兴、推动绿色产业发展中的积极作用，为当地农业企业提供有力支持，也为绿色金融助力乡村经济可持续发展提供了实践参考。</w:t>
      </w:r>
    </w:p>
    <w:p>
      <w:pPr>
        <w:adjustRightInd w:val="0"/>
        <w:snapToGrid w:val="0"/>
        <w:spacing w:line="540" w:lineRule="exact"/>
        <w:ind w:firstLine="640" w:firstLineChars="200"/>
        <w:outlineLvl w:val="0"/>
        <w:rPr>
          <w:rFonts w:ascii="黑体" w:hAnsi="黑体" w:eastAsia="黑体" w:cs="仿宋"/>
          <w:sz w:val="32"/>
          <w:szCs w:val="32"/>
        </w:rPr>
      </w:pPr>
      <w:r>
        <w:rPr>
          <w:rFonts w:hint="eastAsia" w:ascii="黑体" w:hAnsi="黑体" w:eastAsia="黑体" w:cs="仿宋"/>
          <w:sz w:val="32"/>
          <w:szCs w:val="32"/>
        </w:rPr>
        <w:t>六、经营活动对气候与环境的影响</w:t>
      </w:r>
    </w:p>
    <w:p>
      <w:pPr>
        <w:adjustRightInd w:val="0"/>
        <w:snapToGrid w:val="0"/>
        <w:spacing w:line="540" w:lineRule="exact"/>
        <w:ind w:firstLine="640" w:firstLineChars="200"/>
        <w:rPr>
          <w:rFonts w:ascii="楷体" w:hAnsi="楷体" w:eastAsia="楷体" w:cs="仿宋_GB2312"/>
          <w:sz w:val="32"/>
          <w:szCs w:val="32"/>
        </w:rPr>
      </w:pPr>
      <w:r>
        <w:rPr>
          <w:rFonts w:hint="eastAsia" w:ascii="楷体" w:hAnsi="楷体" w:eastAsia="楷体" w:cs="仿宋_GB2312"/>
          <w:sz w:val="32"/>
          <w:szCs w:val="32"/>
        </w:rPr>
        <w:t>（一）经营环境影响</w:t>
      </w:r>
    </w:p>
    <w:p>
      <w:pPr>
        <w:widowControl/>
        <w:adjustRightInd w:val="0"/>
        <w:snapToGrid w:val="0"/>
        <w:spacing w:line="540" w:lineRule="exact"/>
        <w:ind w:firstLine="640" w:firstLineChars="200"/>
        <w:rPr>
          <w:rFonts w:ascii="仿宋_GB2312" w:hAnsi="宋体" w:eastAsia="仿宋_GB2312" w:cs="宋体"/>
          <w:color w:val="000000"/>
          <w:kern w:val="0"/>
          <w:sz w:val="32"/>
          <w:szCs w:val="32"/>
          <w14:ligatures w14:val="none"/>
        </w:rPr>
      </w:pPr>
      <w:r>
        <w:rPr>
          <w:rFonts w:hint="eastAsia" w:ascii="仿宋_GB2312" w:hAnsi="宋体" w:eastAsia="仿宋_GB2312" w:cs="宋体"/>
          <w:color w:val="000000"/>
          <w:kern w:val="0"/>
          <w:sz w:val="32"/>
          <w:szCs w:val="32"/>
          <w14:ligatures w14:val="none"/>
        </w:rPr>
        <w:t>202</w:t>
      </w:r>
      <w:r>
        <w:rPr>
          <w:rFonts w:ascii="仿宋_GB2312" w:hAnsi="宋体" w:eastAsia="仿宋_GB2312" w:cs="宋体"/>
          <w:color w:val="000000"/>
          <w:kern w:val="0"/>
          <w:sz w:val="32"/>
          <w:szCs w:val="32"/>
          <w14:ligatures w14:val="none"/>
        </w:rPr>
        <w:t>4</w:t>
      </w:r>
      <w:r>
        <w:rPr>
          <w:rFonts w:hint="eastAsia" w:ascii="仿宋_GB2312" w:hAnsi="宋体" w:eastAsia="仿宋_GB2312" w:cs="宋体"/>
          <w:color w:val="000000"/>
          <w:kern w:val="0"/>
          <w:sz w:val="32"/>
          <w:szCs w:val="32"/>
          <w14:ligatures w14:val="none"/>
        </w:rPr>
        <w:t>年，本行机关和各营业网点含福农驿站等运营消耗化石能源产生的直接碳排放量6337.70千克，消耗电力产生的直接碳排放量151.17千克，消耗水产生的间接碳排放量8010.18千克，消耗纸产生的间接碳排放量2760千克，碳排放总量1.73吨，人均碳排放量50千克。</w:t>
      </w:r>
    </w:p>
    <w:p>
      <w:pPr>
        <w:spacing w:line="480" w:lineRule="auto"/>
        <w:ind w:left="420" w:leftChars="200"/>
        <w:jc w:val="center"/>
        <w:rPr>
          <w:rFonts w:ascii="黑体" w:hAnsi="黑体" w:eastAsia="黑体" w:cs="黑体"/>
          <w:kern w:val="0"/>
          <w:sz w:val="28"/>
          <w:szCs w:val="28"/>
          <w:u w:color="000000"/>
          <w:lang w:val="zh-TW"/>
        </w:rPr>
      </w:pPr>
      <w:r>
        <w:rPr>
          <w:rFonts w:hint="eastAsia" w:ascii="黑体" w:hAnsi="黑体" w:eastAsia="黑体" w:cs="黑体"/>
          <w:kern w:val="0"/>
          <w:sz w:val="28"/>
          <w:szCs w:val="28"/>
          <w:u w:color="000000"/>
          <w:lang w:val="zh-TW"/>
        </w:rPr>
        <w:t>表</w:t>
      </w:r>
      <w:r>
        <w:rPr>
          <w:rFonts w:ascii="黑体" w:hAnsi="黑体" w:eastAsia="PMingLiU" w:cs="黑体"/>
          <w:kern w:val="0"/>
          <w:sz w:val="28"/>
          <w:szCs w:val="28"/>
          <w:u w:color="000000"/>
          <w:lang w:val="zh-TW" w:eastAsia="zh-TW"/>
        </w:rPr>
        <w:t>1</w:t>
      </w:r>
      <w:r>
        <w:rPr>
          <w:rFonts w:hint="eastAsia" w:ascii="黑体" w:hAnsi="黑体" w:eastAsia="黑体" w:cs="黑体"/>
          <w:kern w:val="0"/>
          <w:sz w:val="28"/>
          <w:szCs w:val="28"/>
          <w:u w:color="000000"/>
          <w:lang w:val="zh-TW"/>
        </w:rPr>
        <w:t>：经营活动产生的资源消耗</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3"/>
        <w:gridCol w:w="3225"/>
        <w:gridCol w:w="1831"/>
        <w:gridCol w:w="1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613" w:type="dxa"/>
          </w:tcPr>
          <w:p>
            <w:pPr>
              <w:spacing w:line="480" w:lineRule="auto"/>
              <w:jc w:val="center"/>
              <w:rPr>
                <w:rFonts w:ascii="仿宋" w:hAnsi="仿宋" w:eastAsia="仿宋" w:cs="仿宋"/>
                <w:b/>
                <w:bCs/>
                <w:sz w:val="28"/>
                <w:szCs w:val="28"/>
              </w:rPr>
            </w:pPr>
            <w:r>
              <w:rPr>
                <w:rFonts w:hint="eastAsia" w:ascii="仿宋" w:hAnsi="仿宋" w:eastAsia="仿宋" w:cs="仿宋"/>
                <w:b/>
                <w:bCs/>
                <w:sz w:val="28"/>
                <w:szCs w:val="28"/>
              </w:rPr>
              <w:t>指标名称</w:t>
            </w:r>
          </w:p>
        </w:tc>
        <w:tc>
          <w:tcPr>
            <w:tcW w:w="3225" w:type="dxa"/>
          </w:tcPr>
          <w:p>
            <w:pPr>
              <w:spacing w:line="480" w:lineRule="auto"/>
              <w:jc w:val="center"/>
              <w:rPr>
                <w:rFonts w:ascii="仿宋" w:hAnsi="仿宋" w:eastAsia="仿宋" w:cs="仿宋"/>
                <w:b/>
                <w:bCs/>
                <w:sz w:val="28"/>
                <w:szCs w:val="28"/>
              </w:rPr>
            </w:pPr>
            <w:r>
              <w:rPr>
                <w:rFonts w:hint="eastAsia" w:ascii="仿宋" w:hAnsi="仿宋" w:eastAsia="仿宋" w:cs="仿宋"/>
                <w:b/>
                <w:bCs/>
                <w:sz w:val="28"/>
                <w:szCs w:val="28"/>
              </w:rPr>
              <w:t>披露细项</w:t>
            </w:r>
          </w:p>
        </w:tc>
        <w:tc>
          <w:tcPr>
            <w:tcW w:w="1831" w:type="dxa"/>
          </w:tcPr>
          <w:p>
            <w:pPr>
              <w:spacing w:line="480" w:lineRule="auto"/>
              <w:jc w:val="center"/>
              <w:rPr>
                <w:rFonts w:ascii="仿宋" w:hAnsi="仿宋" w:eastAsia="仿宋" w:cs="仿宋"/>
                <w:b/>
                <w:bCs/>
                <w:sz w:val="28"/>
                <w:szCs w:val="28"/>
              </w:rPr>
            </w:pPr>
            <w:r>
              <w:rPr>
                <w:rFonts w:hint="eastAsia" w:ascii="仿宋" w:hAnsi="仿宋" w:eastAsia="仿宋" w:cs="仿宋"/>
                <w:b/>
                <w:bCs/>
                <w:sz w:val="28"/>
                <w:szCs w:val="28"/>
              </w:rPr>
              <w:t>总量</w:t>
            </w:r>
          </w:p>
        </w:tc>
        <w:tc>
          <w:tcPr>
            <w:tcW w:w="1853" w:type="dxa"/>
          </w:tcPr>
          <w:p>
            <w:pPr>
              <w:spacing w:line="480" w:lineRule="auto"/>
              <w:jc w:val="center"/>
              <w:rPr>
                <w:rFonts w:ascii="仿宋" w:hAnsi="仿宋" w:eastAsia="仿宋" w:cs="仿宋"/>
                <w:b/>
                <w:bCs/>
                <w:sz w:val="28"/>
                <w:szCs w:val="28"/>
              </w:rPr>
            </w:pPr>
            <w:r>
              <w:rPr>
                <w:rFonts w:hint="eastAsia" w:ascii="仿宋" w:hAnsi="仿宋" w:eastAsia="仿宋" w:cs="仿宋"/>
                <w:b/>
                <w:bCs/>
                <w:sz w:val="28"/>
                <w:szCs w:val="28"/>
              </w:rPr>
              <w:t>人均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exact"/>
        </w:trPr>
        <w:tc>
          <w:tcPr>
            <w:tcW w:w="1613" w:type="dxa"/>
            <w:vMerge w:val="restart"/>
            <w:vAlign w:val="center"/>
          </w:tcPr>
          <w:p>
            <w:pPr>
              <w:spacing w:line="400" w:lineRule="exact"/>
              <w:jc w:val="center"/>
              <w:rPr>
                <w:rFonts w:ascii="仿宋_GB2312" w:hAnsi="仿宋" w:eastAsia="仿宋_GB2312" w:cs="仿宋"/>
                <w:sz w:val="28"/>
                <w:szCs w:val="28"/>
              </w:rPr>
            </w:pPr>
            <w:r>
              <w:rPr>
                <w:rFonts w:hint="eastAsia" w:ascii="仿宋_GB2312" w:hAnsi="仿宋" w:eastAsia="仿宋_GB2312" w:cs="仿宋"/>
                <w:sz w:val="28"/>
                <w:szCs w:val="28"/>
              </w:rPr>
              <w:t>报告年度内经营活动产生的资源消耗</w:t>
            </w:r>
          </w:p>
        </w:tc>
        <w:tc>
          <w:tcPr>
            <w:tcW w:w="3225" w:type="dxa"/>
            <w:vAlign w:val="center"/>
          </w:tcPr>
          <w:p>
            <w:pPr>
              <w:spacing w:line="400" w:lineRule="exact"/>
              <w:rPr>
                <w:rFonts w:ascii="仿宋_GB2312" w:hAnsi="仿宋" w:eastAsia="仿宋_GB2312" w:cs="仿宋"/>
                <w:sz w:val="28"/>
                <w:szCs w:val="28"/>
              </w:rPr>
            </w:pPr>
            <w:r>
              <w:rPr>
                <w:rFonts w:hint="eastAsia" w:ascii="仿宋_GB2312" w:hAnsi="仿宋" w:eastAsia="仿宋_GB2312" w:cs="仿宋"/>
                <w:sz w:val="28"/>
                <w:szCs w:val="28"/>
              </w:rPr>
              <w:t>自有交通运输工具消耗燃油（升）</w:t>
            </w:r>
          </w:p>
        </w:tc>
        <w:tc>
          <w:tcPr>
            <w:tcW w:w="1831" w:type="dxa"/>
          </w:tcPr>
          <w:p>
            <w:pPr>
              <w:spacing w:line="400" w:lineRule="exact"/>
              <w:rPr>
                <w:rFonts w:ascii="仿宋" w:hAnsi="仿宋" w:eastAsia="仿宋" w:cs="仿宋"/>
                <w:sz w:val="28"/>
                <w:szCs w:val="28"/>
              </w:rPr>
            </w:pPr>
            <w:r>
              <w:rPr>
                <w:rFonts w:hint="eastAsia" w:ascii="仿宋" w:hAnsi="仿宋" w:eastAsia="仿宋" w:cs="仿宋"/>
                <w:sz w:val="28"/>
                <w:szCs w:val="28"/>
              </w:rPr>
              <w:t>2755.52</w:t>
            </w:r>
          </w:p>
        </w:tc>
        <w:tc>
          <w:tcPr>
            <w:tcW w:w="1853" w:type="dxa"/>
          </w:tcPr>
          <w:p>
            <w:pPr>
              <w:spacing w:line="400" w:lineRule="exact"/>
              <w:rPr>
                <w:rFonts w:ascii="仿宋" w:hAnsi="仿宋" w:eastAsia="仿宋" w:cs="仿宋"/>
                <w:sz w:val="28"/>
                <w:szCs w:val="28"/>
              </w:rPr>
            </w:pPr>
            <w:r>
              <w:rPr>
                <w:rFonts w:hint="eastAsia" w:ascii="仿宋" w:hAnsi="仿宋" w:eastAsia="仿宋" w:cs="仿宋"/>
                <w:sz w:val="28"/>
                <w:szCs w:val="28"/>
              </w:rPr>
              <w:t>7.87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13" w:type="dxa"/>
            <w:vMerge w:val="continue"/>
          </w:tcPr>
          <w:p>
            <w:pPr>
              <w:spacing w:line="400" w:lineRule="exact"/>
              <w:rPr>
                <w:rFonts w:ascii="仿宋_GB2312" w:hAnsi="仿宋" w:eastAsia="仿宋_GB2312" w:cs="仿宋"/>
                <w:sz w:val="28"/>
                <w:szCs w:val="28"/>
              </w:rPr>
            </w:pPr>
          </w:p>
        </w:tc>
        <w:tc>
          <w:tcPr>
            <w:tcW w:w="3225" w:type="dxa"/>
            <w:vAlign w:val="center"/>
          </w:tcPr>
          <w:p>
            <w:pPr>
              <w:spacing w:line="400" w:lineRule="exact"/>
              <w:rPr>
                <w:rFonts w:ascii="仿宋_GB2312" w:hAnsi="仿宋" w:eastAsia="仿宋_GB2312" w:cs="仿宋"/>
                <w:sz w:val="28"/>
                <w:szCs w:val="28"/>
              </w:rPr>
            </w:pPr>
            <w:r>
              <w:rPr>
                <w:rFonts w:hint="eastAsia" w:ascii="仿宋_GB2312" w:hAnsi="仿宋" w:eastAsia="仿宋_GB2312" w:cs="仿宋"/>
                <w:sz w:val="28"/>
                <w:szCs w:val="28"/>
              </w:rPr>
              <w:t>营业办公消耗电力（万千瓦时）</w:t>
            </w:r>
          </w:p>
        </w:tc>
        <w:tc>
          <w:tcPr>
            <w:tcW w:w="1831" w:type="dxa"/>
          </w:tcPr>
          <w:p>
            <w:pPr>
              <w:spacing w:line="400" w:lineRule="exact"/>
              <w:rPr>
                <w:rFonts w:ascii="仿宋" w:hAnsi="仿宋" w:eastAsia="仿宋" w:cs="仿宋"/>
                <w:sz w:val="28"/>
                <w:szCs w:val="28"/>
              </w:rPr>
            </w:pPr>
            <w:r>
              <w:rPr>
                <w:rFonts w:hint="eastAsia" w:ascii="仿宋" w:hAnsi="仿宋" w:eastAsia="仿宋" w:cs="仿宋"/>
                <w:sz w:val="28"/>
                <w:szCs w:val="28"/>
              </w:rPr>
              <w:t>251.95</w:t>
            </w:r>
          </w:p>
        </w:tc>
        <w:tc>
          <w:tcPr>
            <w:tcW w:w="1853" w:type="dxa"/>
          </w:tcPr>
          <w:p>
            <w:pPr>
              <w:spacing w:line="400" w:lineRule="exact"/>
              <w:rPr>
                <w:rFonts w:ascii="仿宋" w:hAnsi="仿宋" w:eastAsia="仿宋" w:cs="仿宋"/>
                <w:sz w:val="28"/>
                <w:szCs w:val="28"/>
              </w:rPr>
            </w:pPr>
            <w:r>
              <w:rPr>
                <w:rFonts w:hint="eastAsia" w:ascii="仿宋" w:hAnsi="仿宋" w:eastAsia="仿宋" w:cs="仿宋"/>
                <w:sz w:val="28"/>
                <w:szCs w:val="28"/>
              </w:rPr>
              <w:t>0.72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exact"/>
        </w:trPr>
        <w:tc>
          <w:tcPr>
            <w:tcW w:w="1613" w:type="dxa"/>
            <w:vMerge w:val="continue"/>
          </w:tcPr>
          <w:p>
            <w:pPr>
              <w:spacing w:line="400" w:lineRule="exact"/>
              <w:rPr>
                <w:rFonts w:ascii="仿宋_GB2312" w:hAnsi="仿宋" w:eastAsia="仿宋_GB2312" w:cs="仿宋"/>
                <w:sz w:val="28"/>
                <w:szCs w:val="28"/>
              </w:rPr>
            </w:pPr>
          </w:p>
        </w:tc>
        <w:tc>
          <w:tcPr>
            <w:tcW w:w="3225" w:type="dxa"/>
            <w:vAlign w:val="center"/>
          </w:tcPr>
          <w:p>
            <w:pPr>
              <w:spacing w:line="400" w:lineRule="exact"/>
              <w:rPr>
                <w:rFonts w:ascii="仿宋_GB2312" w:hAnsi="仿宋" w:eastAsia="仿宋_GB2312" w:cs="仿宋"/>
                <w:sz w:val="28"/>
                <w:szCs w:val="28"/>
              </w:rPr>
            </w:pPr>
            <w:r>
              <w:rPr>
                <w:rFonts w:hint="eastAsia" w:ascii="仿宋_GB2312" w:hAnsi="仿宋" w:eastAsia="仿宋_GB2312" w:cs="仿宋"/>
                <w:sz w:val="28"/>
                <w:szCs w:val="28"/>
              </w:rPr>
              <w:t>营业办公消耗水（吨）</w:t>
            </w:r>
          </w:p>
        </w:tc>
        <w:tc>
          <w:tcPr>
            <w:tcW w:w="1831" w:type="dxa"/>
          </w:tcPr>
          <w:p>
            <w:pPr>
              <w:spacing w:line="400" w:lineRule="exact"/>
              <w:rPr>
                <w:rFonts w:ascii="仿宋" w:hAnsi="仿宋" w:eastAsia="仿宋" w:cs="仿宋"/>
                <w:sz w:val="28"/>
                <w:szCs w:val="28"/>
              </w:rPr>
            </w:pPr>
            <w:r>
              <w:rPr>
                <w:rFonts w:hint="eastAsia" w:ascii="仿宋" w:hAnsi="仿宋" w:eastAsia="仿宋" w:cs="仿宋"/>
                <w:sz w:val="28"/>
                <w:szCs w:val="28"/>
              </w:rPr>
              <w:t>16020.35</w:t>
            </w:r>
          </w:p>
        </w:tc>
        <w:tc>
          <w:tcPr>
            <w:tcW w:w="1853" w:type="dxa"/>
          </w:tcPr>
          <w:p>
            <w:pPr>
              <w:spacing w:line="400" w:lineRule="exact"/>
              <w:rPr>
                <w:rFonts w:ascii="仿宋" w:hAnsi="仿宋" w:eastAsia="仿宋" w:cs="仿宋"/>
                <w:sz w:val="28"/>
                <w:szCs w:val="28"/>
              </w:rPr>
            </w:pPr>
            <w:r>
              <w:rPr>
                <w:rFonts w:hint="eastAsia" w:ascii="仿宋" w:hAnsi="仿宋" w:eastAsia="仿宋" w:cs="仿宋"/>
                <w:sz w:val="28"/>
                <w:szCs w:val="28"/>
              </w:rPr>
              <w:t>45.77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exact"/>
        </w:trPr>
        <w:tc>
          <w:tcPr>
            <w:tcW w:w="1613" w:type="dxa"/>
            <w:vMerge w:val="continue"/>
          </w:tcPr>
          <w:p>
            <w:pPr>
              <w:spacing w:line="400" w:lineRule="exact"/>
              <w:rPr>
                <w:rFonts w:ascii="仿宋_GB2312" w:hAnsi="仿宋" w:eastAsia="仿宋_GB2312" w:cs="仿宋"/>
                <w:sz w:val="28"/>
                <w:szCs w:val="28"/>
              </w:rPr>
            </w:pPr>
          </w:p>
        </w:tc>
        <w:tc>
          <w:tcPr>
            <w:tcW w:w="3225" w:type="dxa"/>
            <w:vAlign w:val="center"/>
          </w:tcPr>
          <w:p>
            <w:pPr>
              <w:spacing w:line="400" w:lineRule="exact"/>
              <w:rPr>
                <w:rFonts w:ascii="仿宋_GB2312" w:hAnsi="仿宋" w:eastAsia="仿宋_GB2312" w:cs="仿宋"/>
                <w:sz w:val="28"/>
                <w:szCs w:val="28"/>
              </w:rPr>
            </w:pPr>
            <w:r>
              <w:rPr>
                <w:rFonts w:hint="eastAsia" w:ascii="仿宋_GB2312" w:hAnsi="仿宋" w:eastAsia="仿宋_GB2312" w:cs="仿宋"/>
                <w:sz w:val="28"/>
                <w:szCs w:val="28"/>
              </w:rPr>
              <w:t>营业办公消耗纸张（吨）</w:t>
            </w:r>
          </w:p>
        </w:tc>
        <w:tc>
          <w:tcPr>
            <w:tcW w:w="1831" w:type="dxa"/>
          </w:tcPr>
          <w:p>
            <w:pPr>
              <w:spacing w:line="400" w:lineRule="exact"/>
              <w:rPr>
                <w:rFonts w:ascii="仿宋" w:hAnsi="仿宋" w:eastAsia="仿宋" w:cs="仿宋"/>
                <w:sz w:val="28"/>
                <w:szCs w:val="28"/>
              </w:rPr>
            </w:pPr>
            <w:r>
              <w:rPr>
                <w:rFonts w:hint="eastAsia" w:ascii="仿宋" w:hAnsi="仿宋" w:eastAsia="仿宋" w:cs="仿宋"/>
                <w:sz w:val="28"/>
                <w:szCs w:val="28"/>
              </w:rPr>
              <w:t>2.3</w:t>
            </w:r>
          </w:p>
        </w:tc>
        <w:tc>
          <w:tcPr>
            <w:tcW w:w="1853" w:type="dxa"/>
          </w:tcPr>
          <w:p>
            <w:pPr>
              <w:spacing w:line="400" w:lineRule="exact"/>
              <w:rPr>
                <w:rFonts w:ascii="仿宋" w:hAnsi="仿宋" w:eastAsia="仿宋" w:cs="仿宋"/>
                <w:sz w:val="28"/>
                <w:szCs w:val="28"/>
              </w:rPr>
            </w:pPr>
            <w:r>
              <w:rPr>
                <w:rFonts w:hint="eastAsia" w:ascii="仿宋" w:hAnsi="仿宋" w:eastAsia="仿宋" w:cs="仿宋"/>
                <w:sz w:val="28"/>
                <w:szCs w:val="28"/>
              </w:rPr>
              <w:t>0.006</w:t>
            </w:r>
          </w:p>
        </w:tc>
      </w:tr>
    </w:tbl>
    <w:p>
      <w:pPr>
        <w:pStyle w:val="2"/>
        <w:spacing w:line="540" w:lineRule="exact"/>
        <w:ind w:firstLine="640" w:firstLineChars="200"/>
        <w:rPr>
          <w:rFonts w:ascii="仿宋_GB2312" w:hAnsi="宋体" w:eastAsia="仿宋_GB2312" w:cs="宋体"/>
          <w:color w:val="000000"/>
          <w:kern w:val="0"/>
          <w:sz w:val="32"/>
          <w:szCs w:val="32"/>
          <w14:ligatures w14:val="none"/>
        </w:rPr>
      </w:pPr>
      <w:r>
        <w:rPr>
          <w:rFonts w:hint="eastAsia" w:ascii="仿宋_GB2312" w:hAnsi="宋体" w:eastAsia="仿宋_GB2312" w:cs="宋体"/>
          <w:color w:val="000000"/>
          <w:kern w:val="0"/>
          <w:sz w:val="32"/>
          <w:szCs w:val="32"/>
          <w14:ligatures w14:val="none"/>
        </w:rPr>
        <w:t>注：1.根据智能AI推荐典型计算结果，消耗燃油产生的直接碳排放量以2.3kg/L计算，消耗电产生的直接碳排放量以0.6kg/kwh计算，消耗水产生的间接碳排放量以0.5kg/吨计算，消耗纸产生的间接碳排放量以1200kg/吨计算。2.截至2024年12月31日，在岗员工350人。</w:t>
      </w:r>
    </w:p>
    <w:p>
      <w:pPr>
        <w:adjustRightInd w:val="0"/>
        <w:snapToGrid w:val="0"/>
        <w:spacing w:line="540" w:lineRule="exact"/>
        <w:ind w:firstLine="640" w:firstLineChars="200"/>
        <w:rPr>
          <w:rFonts w:ascii="楷体" w:hAnsi="楷体" w:eastAsia="楷体" w:cs="仿宋_GB2312"/>
          <w:sz w:val="32"/>
          <w:szCs w:val="32"/>
        </w:rPr>
      </w:pPr>
      <w:r>
        <w:rPr>
          <w:rFonts w:hint="eastAsia" w:ascii="楷体" w:hAnsi="楷体" w:eastAsia="楷体" w:cs="仿宋_GB2312"/>
          <w:sz w:val="32"/>
          <w:szCs w:val="32"/>
        </w:rPr>
        <w:t>（二）环保措施及成果</w:t>
      </w:r>
    </w:p>
    <w:p>
      <w:pPr>
        <w:pStyle w:val="2"/>
        <w:adjustRightInd w:val="0"/>
        <w:snapToGrid w:val="0"/>
        <w:spacing w:line="540" w:lineRule="exact"/>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1.全面启动绿色办公、集约化管理工作</w:t>
      </w:r>
    </w:p>
    <w:p>
      <w:pPr>
        <w:widowControl/>
        <w:adjustRightInd w:val="0"/>
        <w:snapToGrid w:val="0"/>
        <w:spacing w:line="540" w:lineRule="exact"/>
        <w:ind w:firstLine="640" w:firstLineChars="200"/>
        <w:rPr>
          <w:rFonts w:ascii="仿宋_GB2312" w:hAnsi="宋体" w:eastAsia="仿宋_GB2312" w:cs="宋体"/>
          <w:color w:val="000000"/>
          <w:kern w:val="0"/>
          <w:sz w:val="32"/>
          <w:szCs w:val="32"/>
          <w14:ligatures w14:val="none"/>
        </w:rPr>
      </w:pPr>
      <w:r>
        <w:rPr>
          <w:rFonts w:hint="eastAsia" w:ascii="仿宋_GB2312" w:hAnsi="宋体" w:eastAsia="仿宋_GB2312" w:cs="宋体"/>
          <w:color w:val="000000"/>
          <w:kern w:val="0"/>
          <w:sz w:val="32"/>
          <w:szCs w:val="32"/>
          <w14:ligatures w14:val="none"/>
        </w:rPr>
        <w:t>我行坚持绿色办公、节能环保的理念，倡导全体员工在办公活动中节约资源，减少水、电、纸、油等能源的直接和间接损耗，提高能源效率和保护环境严格遵守环境保护相关法律法规。</w:t>
      </w:r>
    </w:p>
    <w:p>
      <w:pPr>
        <w:pStyle w:val="2"/>
        <w:jc w:val="center"/>
      </w:pPr>
      <w:r>
        <w:rPr>
          <w:rFonts w:hint="eastAsia" w:ascii="黑体" w:hAnsi="黑体" w:eastAsia="黑体" w:cs="黑体"/>
          <w:kern w:val="0"/>
          <w:sz w:val="28"/>
          <w:szCs w:val="28"/>
          <w:u w:color="000000"/>
          <w:lang w:val="zh-TW"/>
        </w:rPr>
        <w:t>表</w:t>
      </w:r>
      <w:r>
        <w:rPr>
          <w:rFonts w:ascii="黑体" w:hAnsi="黑体" w:eastAsia="PMingLiU" w:cs="黑体"/>
          <w:kern w:val="0"/>
          <w:sz w:val="28"/>
          <w:szCs w:val="28"/>
          <w:u w:color="000000"/>
          <w:lang w:val="zh-TW" w:eastAsia="zh-TW"/>
        </w:rPr>
        <w:t>2</w:t>
      </w:r>
      <w:r>
        <w:rPr>
          <w:rFonts w:hint="eastAsia" w:ascii="黑体" w:hAnsi="黑体" w:eastAsia="黑体" w:cs="黑体"/>
          <w:kern w:val="0"/>
          <w:sz w:val="28"/>
          <w:szCs w:val="28"/>
          <w:u w:color="000000"/>
          <w:lang w:val="zh-TW"/>
        </w:rPr>
        <w:t>：环保措施及成果</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9"/>
        <w:gridCol w:w="5265"/>
        <w:gridCol w:w="1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tcPr>
          <w:p>
            <w:pPr>
              <w:widowControl/>
              <w:spacing w:line="520" w:lineRule="exact"/>
              <w:jc w:val="center"/>
              <w:rPr>
                <w:rFonts w:ascii="黑体" w:hAnsi="黑体" w:eastAsia="黑体" w:cs="宋体"/>
                <w:color w:val="000000"/>
                <w:kern w:val="0"/>
                <w:sz w:val="28"/>
                <w:szCs w:val="28"/>
                <w14:ligatures w14:val="none"/>
              </w:rPr>
            </w:pPr>
            <w:r>
              <w:rPr>
                <w:rFonts w:hint="eastAsia" w:ascii="黑体" w:hAnsi="黑体" w:eastAsia="黑体" w:cs="宋体"/>
                <w:color w:val="000000"/>
                <w:kern w:val="0"/>
                <w:sz w:val="28"/>
                <w:szCs w:val="28"/>
                <w14:ligatures w14:val="none"/>
              </w:rPr>
              <w:t>管理</w:t>
            </w:r>
            <w:r>
              <w:rPr>
                <w:rFonts w:ascii="黑体" w:hAnsi="黑体" w:eastAsia="黑体" w:cs="宋体"/>
                <w:color w:val="000000"/>
                <w:kern w:val="0"/>
                <w:sz w:val="28"/>
                <w:szCs w:val="28"/>
                <w14:ligatures w14:val="none"/>
              </w:rPr>
              <w:t>内容</w:t>
            </w:r>
          </w:p>
        </w:tc>
        <w:tc>
          <w:tcPr>
            <w:tcW w:w="5265" w:type="dxa"/>
          </w:tcPr>
          <w:p>
            <w:pPr>
              <w:widowControl/>
              <w:spacing w:line="520" w:lineRule="exact"/>
              <w:jc w:val="center"/>
              <w:rPr>
                <w:rFonts w:ascii="黑体" w:hAnsi="黑体" w:eastAsia="黑体" w:cs="宋体"/>
                <w:color w:val="000000"/>
                <w:kern w:val="0"/>
                <w:sz w:val="28"/>
                <w:szCs w:val="28"/>
                <w14:ligatures w14:val="none"/>
              </w:rPr>
            </w:pPr>
            <w:r>
              <w:rPr>
                <w:rFonts w:hint="eastAsia" w:ascii="黑体" w:hAnsi="黑体" w:eastAsia="黑体" w:cs="宋体"/>
                <w:color w:val="000000"/>
                <w:kern w:val="0"/>
                <w:sz w:val="28"/>
                <w:szCs w:val="28"/>
                <w14:ligatures w14:val="none"/>
              </w:rPr>
              <w:t>管理</w:t>
            </w:r>
            <w:r>
              <w:rPr>
                <w:rFonts w:ascii="黑体" w:hAnsi="黑体" w:eastAsia="黑体" w:cs="宋体"/>
                <w:color w:val="000000"/>
                <w:kern w:val="0"/>
                <w:sz w:val="28"/>
                <w:szCs w:val="28"/>
                <w14:ligatures w14:val="none"/>
              </w:rPr>
              <w:t>措施</w:t>
            </w:r>
          </w:p>
        </w:tc>
        <w:tc>
          <w:tcPr>
            <w:tcW w:w="1808" w:type="dxa"/>
          </w:tcPr>
          <w:p>
            <w:pPr>
              <w:widowControl/>
              <w:spacing w:line="520" w:lineRule="exact"/>
              <w:jc w:val="center"/>
              <w:rPr>
                <w:rFonts w:ascii="黑体" w:hAnsi="黑体" w:eastAsia="黑体" w:cs="宋体"/>
                <w:color w:val="000000"/>
                <w:kern w:val="0"/>
                <w:sz w:val="28"/>
                <w:szCs w:val="28"/>
                <w14:ligatures w14:val="none"/>
              </w:rPr>
            </w:pPr>
            <w:r>
              <w:rPr>
                <w:rFonts w:hint="eastAsia" w:ascii="黑体" w:hAnsi="黑体" w:eastAsia="黑体" w:cs="宋体"/>
                <w:color w:val="000000"/>
                <w:kern w:val="0"/>
                <w:sz w:val="28"/>
                <w:szCs w:val="28"/>
                <w14:ligatures w14:val="none"/>
              </w:rPr>
              <w:t>执行</w:t>
            </w:r>
            <w:r>
              <w:rPr>
                <w:rFonts w:ascii="黑体" w:hAnsi="黑体" w:eastAsia="黑体" w:cs="宋体"/>
                <w:color w:val="000000"/>
                <w:kern w:val="0"/>
                <w:sz w:val="28"/>
                <w:szCs w:val="28"/>
                <w14:ligatures w14:val="none"/>
              </w:rPr>
              <w:t>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tcPr>
          <w:p>
            <w:pPr>
              <w:widowControl/>
              <w:spacing w:line="520" w:lineRule="exact"/>
              <w:jc w:val="center"/>
              <w:rPr>
                <w:rFonts w:ascii="仿宋_GB2312" w:hAnsi="宋体" w:eastAsia="仿宋_GB2312" w:cs="宋体"/>
                <w:color w:val="000000"/>
                <w:kern w:val="0"/>
                <w:sz w:val="28"/>
                <w:szCs w:val="28"/>
                <w14:ligatures w14:val="none"/>
              </w:rPr>
            </w:pPr>
            <w:r>
              <w:rPr>
                <w:rFonts w:hint="eastAsia" w:ascii="仿宋_GB2312" w:hAnsi="宋体" w:eastAsia="仿宋_GB2312" w:cs="宋体"/>
                <w:color w:val="000000"/>
                <w:kern w:val="0"/>
                <w:sz w:val="28"/>
                <w:szCs w:val="28"/>
                <w14:ligatures w14:val="none"/>
              </w:rPr>
              <w:t>节电</w:t>
            </w:r>
            <w:r>
              <w:rPr>
                <w:rFonts w:ascii="仿宋_GB2312" w:hAnsi="宋体" w:eastAsia="仿宋_GB2312" w:cs="宋体"/>
                <w:color w:val="000000"/>
                <w:kern w:val="0"/>
                <w:sz w:val="28"/>
                <w:szCs w:val="28"/>
                <w14:ligatures w14:val="none"/>
              </w:rPr>
              <w:t>管理</w:t>
            </w:r>
          </w:p>
        </w:tc>
        <w:tc>
          <w:tcPr>
            <w:tcW w:w="5265" w:type="dxa"/>
          </w:tcPr>
          <w:p>
            <w:pPr>
              <w:widowControl/>
              <w:spacing w:line="400" w:lineRule="exact"/>
              <w:rPr>
                <w:rFonts w:ascii="仿宋_GB2312" w:hAnsi="宋体" w:eastAsia="仿宋_GB2312" w:cs="宋体"/>
                <w:color w:val="000000"/>
                <w:kern w:val="0"/>
                <w:sz w:val="28"/>
                <w:szCs w:val="28"/>
                <w14:ligatures w14:val="none"/>
              </w:rPr>
            </w:pPr>
            <w:r>
              <w:rPr>
                <w:rFonts w:hint="eastAsia" w:ascii="仿宋_GB2312" w:hAnsi="宋体" w:eastAsia="仿宋_GB2312" w:cs="宋体"/>
                <w:color w:val="000000"/>
                <w:kern w:val="0"/>
                <w:sz w:val="28"/>
                <w:szCs w:val="28"/>
                <w14:ligatures w14:val="none"/>
              </w:rPr>
              <w:t>1.强化照明系统节电。充分利用自然光照，做到人走灯灭。</w:t>
            </w:r>
          </w:p>
          <w:p>
            <w:pPr>
              <w:pStyle w:val="2"/>
              <w:widowControl/>
              <w:spacing w:line="400" w:lineRule="exact"/>
              <w:rPr>
                <w:rFonts w:ascii="仿宋_GB2312" w:hAnsi="宋体" w:eastAsia="仿宋_GB2312" w:cs="宋体"/>
                <w:color w:val="000000"/>
                <w:kern w:val="0"/>
                <w:sz w:val="28"/>
                <w:szCs w:val="28"/>
                <w14:ligatures w14:val="none"/>
              </w:rPr>
            </w:pPr>
            <w:r>
              <w:rPr>
                <w:rFonts w:hint="eastAsia" w:ascii="仿宋_GB2312" w:hAnsi="宋体" w:eastAsia="仿宋_GB2312" w:cs="宋体"/>
                <w:color w:val="000000"/>
                <w:kern w:val="0"/>
                <w:sz w:val="28"/>
                <w:szCs w:val="28"/>
                <w14:ligatures w14:val="none"/>
              </w:rPr>
              <w:t>2.注重用电设备节电。使用电脑、打印机等办公设备时，尽量减少开启和使用次数。合理使用空调，夏季室外温度低于30℃、冬季室外温度高于10℃时，原则上不开空调，提倡下班前半小时关闭空调。尽量减少电梯使用，</w:t>
            </w:r>
            <w:r>
              <w:rPr>
                <w:rFonts w:ascii="仿宋_GB2312" w:hAnsi="宋体" w:eastAsia="仿宋_GB2312" w:cs="宋体"/>
                <w:color w:val="000000"/>
                <w:kern w:val="0"/>
                <w:sz w:val="28"/>
                <w:szCs w:val="28"/>
                <w14:ligatures w14:val="none"/>
              </w:rPr>
              <w:t>3</w:t>
            </w:r>
            <w:r>
              <w:rPr>
                <w:rFonts w:hint="eastAsia" w:ascii="仿宋_GB2312" w:hAnsi="宋体" w:eastAsia="仿宋_GB2312" w:cs="宋体"/>
                <w:color w:val="000000"/>
                <w:kern w:val="0"/>
                <w:sz w:val="28"/>
                <w:szCs w:val="28"/>
                <w14:ligatures w14:val="none"/>
              </w:rPr>
              <w:t>层以下上下楼梯提倡走楼梯。</w:t>
            </w:r>
          </w:p>
          <w:p>
            <w:pPr>
              <w:pStyle w:val="2"/>
              <w:widowControl/>
              <w:spacing w:line="400" w:lineRule="exact"/>
              <w:rPr>
                <w:rFonts w:ascii="仿宋_GB2312" w:hAnsi="宋体" w:eastAsia="仿宋_GB2312" w:cs="宋体"/>
                <w:color w:val="000000"/>
                <w:kern w:val="0"/>
                <w:sz w:val="28"/>
                <w:szCs w:val="28"/>
                <w14:ligatures w14:val="none"/>
              </w:rPr>
            </w:pPr>
            <w:r>
              <w:rPr>
                <w:rFonts w:hint="eastAsia" w:ascii="仿宋_GB2312" w:hAnsi="宋体" w:eastAsia="仿宋_GB2312" w:cs="宋体"/>
                <w:color w:val="000000"/>
                <w:kern w:val="0"/>
                <w:sz w:val="28"/>
                <w:szCs w:val="28"/>
                <w14:ligatures w14:val="none"/>
              </w:rPr>
              <w:t>3.新办公设备选购节能环保产品。</w:t>
            </w:r>
          </w:p>
        </w:tc>
        <w:tc>
          <w:tcPr>
            <w:tcW w:w="1808" w:type="dxa"/>
          </w:tcPr>
          <w:p>
            <w:pPr>
              <w:widowControl/>
              <w:spacing w:line="400" w:lineRule="exact"/>
              <w:rPr>
                <w:rFonts w:ascii="仿宋_GB2312" w:hAnsi="宋体" w:eastAsia="仿宋_GB2312" w:cs="宋体"/>
                <w:color w:val="000000"/>
                <w:kern w:val="0"/>
                <w:sz w:val="28"/>
                <w:szCs w:val="28"/>
                <w14:ligatures w14:val="none"/>
              </w:rPr>
            </w:pPr>
            <w:r>
              <w:rPr>
                <w:rFonts w:hint="eastAsia" w:ascii="仿宋_GB2312" w:hAnsi="宋体" w:eastAsia="仿宋_GB2312" w:cs="宋体"/>
                <w:color w:val="000000"/>
                <w:kern w:val="0"/>
                <w:sz w:val="28"/>
                <w:szCs w:val="28"/>
                <w14:ligatures w14:val="none"/>
              </w:rPr>
              <w:t>提高能源效率。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tcPr>
          <w:p>
            <w:pPr>
              <w:widowControl/>
              <w:spacing w:line="520" w:lineRule="exact"/>
              <w:jc w:val="center"/>
              <w:rPr>
                <w:rFonts w:ascii="仿宋_GB2312" w:hAnsi="宋体" w:eastAsia="仿宋_GB2312" w:cs="宋体"/>
                <w:color w:val="000000"/>
                <w:kern w:val="0"/>
                <w:sz w:val="28"/>
                <w:szCs w:val="28"/>
                <w14:ligatures w14:val="none"/>
              </w:rPr>
            </w:pPr>
            <w:r>
              <w:rPr>
                <w:rFonts w:hint="eastAsia" w:ascii="仿宋_GB2312" w:hAnsi="宋体" w:eastAsia="仿宋_GB2312" w:cs="宋体"/>
                <w:color w:val="000000"/>
                <w:kern w:val="0"/>
                <w:sz w:val="28"/>
                <w:szCs w:val="28"/>
                <w14:ligatures w14:val="none"/>
              </w:rPr>
              <w:t>节水</w:t>
            </w:r>
            <w:r>
              <w:rPr>
                <w:rFonts w:ascii="仿宋_GB2312" w:hAnsi="宋体" w:eastAsia="仿宋_GB2312" w:cs="宋体"/>
                <w:color w:val="000000"/>
                <w:kern w:val="0"/>
                <w:sz w:val="28"/>
                <w:szCs w:val="28"/>
                <w14:ligatures w14:val="none"/>
              </w:rPr>
              <w:t>管理</w:t>
            </w:r>
          </w:p>
        </w:tc>
        <w:tc>
          <w:tcPr>
            <w:tcW w:w="5265" w:type="dxa"/>
          </w:tcPr>
          <w:p>
            <w:pPr>
              <w:widowControl/>
              <w:spacing w:line="400" w:lineRule="exact"/>
              <w:rPr>
                <w:rFonts w:ascii="仿宋_GB2312" w:hAnsi="宋体" w:eastAsia="仿宋_GB2312" w:cs="宋体"/>
                <w:color w:val="000000"/>
                <w:kern w:val="0"/>
                <w:sz w:val="28"/>
                <w:szCs w:val="28"/>
                <w14:ligatures w14:val="none"/>
              </w:rPr>
            </w:pPr>
            <w:r>
              <w:rPr>
                <w:rFonts w:hint="eastAsia" w:ascii="仿宋_GB2312" w:hAnsi="宋体" w:eastAsia="仿宋_GB2312" w:cs="宋体"/>
                <w:color w:val="000000"/>
                <w:kern w:val="0"/>
                <w:sz w:val="28"/>
                <w:szCs w:val="28"/>
                <w14:ligatures w14:val="none"/>
              </w:rPr>
              <w:t>推广使用节水设备，提高水的利用率，加强用水设备日常维护；张贴节约用水提示，自然用水将龙头尽量开小，用完随手关闭。</w:t>
            </w:r>
          </w:p>
        </w:tc>
        <w:tc>
          <w:tcPr>
            <w:tcW w:w="1808" w:type="dxa"/>
          </w:tcPr>
          <w:p>
            <w:pPr>
              <w:widowControl/>
              <w:spacing w:line="400" w:lineRule="exact"/>
              <w:rPr>
                <w:rFonts w:ascii="仿宋_GB2312" w:hAnsi="宋体" w:eastAsia="仿宋_GB2312" w:cs="宋体"/>
                <w:color w:val="000000"/>
                <w:kern w:val="0"/>
                <w:sz w:val="28"/>
                <w:szCs w:val="28"/>
                <w14:ligatures w14:val="none"/>
              </w:rPr>
            </w:pPr>
            <w:r>
              <w:rPr>
                <w:rFonts w:hint="eastAsia" w:ascii="仿宋_GB2312" w:hAnsi="宋体" w:eastAsia="仿宋_GB2312" w:cs="宋体"/>
                <w:color w:val="000000"/>
                <w:kern w:val="0"/>
                <w:sz w:val="28"/>
                <w:szCs w:val="28"/>
                <w14:ligatures w14:val="none"/>
              </w:rPr>
              <w:t>减少水资源的不必要消 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tcPr>
          <w:p>
            <w:pPr>
              <w:widowControl/>
              <w:spacing w:line="520" w:lineRule="exact"/>
              <w:jc w:val="center"/>
              <w:rPr>
                <w:rFonts w:ascii="仿宋_GB2312" w:hAnsi="宋体" w:eastAsia="仿宋_GB2312" w:cs="宋体"/>
                <w:color w:val="000000"/>
                <w:kern w:val="0"/>
                <w:sz w:val="28"/>
                <w:szCs w:val="28"/>
                <w14:ligatures w14:val="none"/>
              </w:rPr>
            </w:pPr>
            <w:r>
              <w:rPr>
                <w:rFonts w:hint="eastAsia" w:ascii="仿宋_GB2312" w:hAnsi="宋体" w:eastAsia="仿宋_GB2312" w:cs="宋体"/>
                <w:color w:val="000000"/>
                <w:kern w:val="0"/>
                <w:sz w:val="28"/>
                <w:szCs w:val="28"/>
                <w14:ligatures w14:val="none"/>
              </w:rPr>
              <w:t>节材</w:t>
            </w:r>
            <w:r>
              <w:rPr>
                <w:rFonts w:ascii="仿宋_GB2312" w:hAnsi="宋体" w:eastAsia="仿宋_GB2312" w:cs="宋体"/>
                <w:color w:val="000000"/>
                <w:kern w:val="0"/>
                <w:sz w:val="28"/>
                <w:szCs w:val="28"/>
                <w14:ligatures w14:val="none"/>
              </w:rPr>
              <w:t>管理</w:t>
            </w:r>
          </w:p>
        </w:tc>
        <w:tc>
          <w:tcPr>
            <w:tcW w:w="5265" w:type="dxa"/>
          </w:tcPr>
          <w:p>
            <w:pPr>
              <w:widowControl/>
              <w:spacing w:line="400" w:lineRule="exact"/>
              <w:rPr>
                <w:rFonts w:ascii="仿宋_GB2312" w:hAnsi="宋体" w:eastAsia="仿宋_GB2312" w:cs="宋体"/>
                <w:color w:val="000000"/>
                <w:kern w:val="0"/>
                <w:sz w:val="28"/>
                <w:szCs w:val="28"/>
                <w14:ligatures w14:val="none"/>
              </w:rPr>
            </w:pPr>
            <w:r>
              <w:rPr>
                <w:rFonts w:hint="eastAsia" w:ascii="仿宋_GB2312" w:hAnsi="宋体" w:eastAsia="仿宋_GB2312" w:cs="宋体"/>
                <w:color w:val="000000"/>
                <w:kern w:val="0"/>
                <w:sz w:val="28"/>
                <w:szCs w:val="28"/>
                <w14:ligatures w14:val="none"/>
              </w:rPr>
              <w:t>积极响应垃圾分类、可回收资源再利用等政策号召，在行内推广无纸化办公，倡导员工合理规划，节约用纸，减少纸张使用频率，提高纸张使用效率。</w:t>
            </w:r>
          </w:p>
        </w:tc>
        <w:tc>
          <w:tcPr>
            <w:tcW w:w="1808" w:type="dxa"/>
          </w:tcPr>
          <w:p>
            <w:pPr>
              <w:widowControl/>
              <w:spacing w:line="400" w:lineRule="exact"/>
              <w:rPr>
                <w:rFonts w:ascii="仿宋_GB2312" w:hAnsi="宋体" w:eastAsia="仿宋_GB2312" w:cs="宋体"/>
                <w:color w:val="000000"/>
                <w:kern w:val="0"/>
                <w:sz w:val="28"/>
                <w:szCs w:val="28"/>
                <w14:ligatures w14:val="none"/>
              </w:rPr>
            </w:pPr>
            <w:r>
              <w:rPr>
                <w:rFonts w:hint="eastAsia" w:ascii="仿宋_GB2312" w:hAnsi="宋体" w:eastAsia="仿宋_GB2312" w:cs="宋体"/>
                <w:color w:val="000000"/>
                <w:kern w:val="0"/>
                <w:sz w:val="28"/>
                <w:szCs w:val="28"/>
                <w14:ligatures w14:val="none"/>
              </w:rPr>
              <w:t>提高低值易耗品使用率</w:t>
            </w:r>
            <w:r>
              <w:rPr>
                <w:rFonts w:ascii="仿宋_GB2312" w:hAnsi="宋体" w:eastAsia="仿宋_GB2312" w:cs="宋体"/>
                <w:color w:val="000000"/>
                <w:kern w:val="0"/>
                <w:sz w:val="28"/>
                <w:szCs w:val="28"/>
                <w14:ligatures w14: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tcPr>
          <w:p>
            <w:pPr>
              <w:widowControl/>
              <w:spacing w:line="520" w:lineRule="exact"/>
              <w:jc w:val="center"/>
              <w:rPr>
                <w:rFonts w:ascii="仿宋_GB2312" w:hAnsi="宋体" w:eastAsia="仿宋_GB2312" w:cs="宋体"/>
                <w:color w:val="000000"/>
                <w:kern w:val="0"/>
                <w:sz w:val="28"/>
                <w:szCs w:val="28"/>
                <w14:ligatures w14:val="none"/>
              </w:rPr>
            </w:pPr>
            <w:r>
              <w:rPr>
                <w:rFonts w:hint="eastAsia" w:ascii="仿宋_GB2312" w:hAnsi="宋体" w:eastAsia="仿宋_GB2312" w:cs="宋体"/>
                <w:color w:val="000000"/>
                <w:kern w:val="0"/>
                <w:sz w:val="28"/>
                <w:szCs w:val="28"/>
                <w14:ligatures w14:val="none"/>
              </w:rPr>
              <w:t>节</w:t>
            </w:r>
            <w:r>
              <w:rPr>
                <w:rFonts w:ascii="仿宋_GB2312" w:hAnsi="宋体" w:eastAsia="仿宋_GB2312" w:cs="宋体"/>
                <w:color w:val="000000"/>
                <w:kern w:val="0"/>
                <w:sz w:val="28"/>
                <w:szCs w:val="28"/>
                <w14:ligatures w14:val="none"/>
              </w:rPr>
              <w:t>油管理</w:t>
            </w:r>
          </w:p>
        </w:tc>
        <w:tc>
          <w:tcPr>
            <w:tcW w:w="5265" w:type="dxa"/>
          </w:tcPr>
          <w:p>
            <w:pPr>
              <w:widowControl/>
              <w:spacing w:line="400" w:lineRule="exact"/>
              <w:rPr>
                <w:rFonts w:ascii="仿宋_GB2312" w:hAnsi="宋体" w:eastAsia="仿宋_GB2312" w:cs="宋体"/>
                <w:color w:val="000000"/>
                <w:kern w:val="0"/>
                <w:sz w:val="28"/>
                <w:szCs w:val="28"/>
                <w14:ligatures w14:val="none"/>
              </w:rPr>
            </w:pPr>
            <w:r>
              <w:rPr>
                <w:rFonts w:hint="eastAsia" w:ascii="仿宋_GB2312" w:hAnsi="宋体" w:eastAsia="仿宋_GB2312" w:cs="宋体"/>
                <w:color w:val="000000"/>
                <w:kern w:val="0"/>
                <w:sz w:val="28"/>
                <w:szCs w:val="28"/>
                <w14:ligatures w14:val="none"/>
              </w:rPr>
              <w:t>严格执行国家相关规定，加强全行范围内的车辆管理及燃油管理，同时加强员工宣传教育，倡导绿色出行。</w:t>
            </w:r>
          </w:p>
        </w:tc>
        <w:tc>
          <w:tcPr>
            <w:tcW w:w="1808" w:type="dxa"/>
          </w:tcPr>
          <w:p>
            <w:pPr>
              <w:widowControl/>
              <w:spacing w:line="400" w:lineRule="exact"/>
              <w:rPr>
                <w:rFonts w:ascii="仿宋_GB2312" w:hAnsi="宋体" w:eastAsia="仿宋_GB2312" w:cs="宋体"/>
                <w:color w:val="000000"/>
                <w:kern w:val="0"/>
                <w:sz w:val="28"/>
                <w:szCs w:val="28"/>
                <w14:ligatures w14:val="none"/>
              </w:rPr>
            </w:pPr>
            <w:r>
              <w:rPr>
                <w:rFonts w:hint="eastAsia" w:ascii="仿宋_GB2312" w:hAnsi="宋体" w:eastAsia="仿宋_GB2312" w:cs="宋体"/>
                <w:color w:val="000000"/>
                <w:kern w:val="0"/>
                <w:sz w:val="28"/>
                <w:szCs w:val="28"/>
                <w14:ligatures w14:val="none"/>
              </w:rPr>
              <w:t>提高节能减排成效。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tcPr>
          <w:p>
            <w:pPr>
              <w:widowControl/>
              <w:spacing w:line="520" w:lineRule="exact"/>
              <w:jc w:val="center"/>
              <w:rPr>
                <w:rFonts w:ascii="仿宋_GB2312" w:hAnsi="宋体" w:eastAsia="仿宋_GB2312" w:cs="宋体"/>
                <w:color w:val="000000"/>
                <w:kern w:val="0"/>
                <w:sz w:val="28"/>
                <w:szCs w:val="28"/>
                <w14:ligatures w14:val="none"/>
              </w:rPr>
            </w:pPr>
            <w:r>
              <w:rPr>
                <w:rFonts w:hint="eastAsia" w:ascii="仿宋_GB2312" w:hAnsi="宋体" w:eastAsia="仿宋_GB2312" w:cs="宋体"/>
                <w:color w:val="000000"/>
                <w:kern w:val="0"/>
                <w:sz w:val="28"/>
                <w:szCs w:val="28"/>
                <w14:ligatures w14:val="none"/>
              </w:rPr>
              <w:t>节粮管理</w:t>
            </w:r>
          </w:p>
        </w:tc>
        <w:tc>
          <w:tcPr>
            <w:tcW w:w="5265" w:type="dxa"/>
          </w:tcPr>
          <w:p>
            <w:pPr>
              <w:widowControl/>
              <w:spacing w:line="400" w:lineRule="exact"/>
              <w:jc w:val="left"/>
              <w:rPr>
                <w:rFonts w:ascii="仿宋_GB2312" w:hAnsi="宋体" w:eastAsia="仿宋_GB2312" w:cs="宋体"/>
                <w:color w:val="000000"/>
                <w:kern w:val="0"/>
                <w:sz w:val="28"/>
                <w:szCs w:val="28"/>
                <w14:ligatures w14:val="none"/>
              </w:rPr>
            </w:pPr>
            <w:r>
              <w:rPr>
                <w:rFonts w:hint="eastAsia" w:ascii="仿宋_GB2312" w:hAnsi="宋体" w:eastAsia="仿宋_GB2312" w:cs="宋体"/>
                <w:color w:val="000000"/>
                <w:kern w:val="0"/>
                <w:sz w:val="28"/>
                <w:szCs w:val="28"/>
                <w14:ligatures w14:val="none"/>
              </w:rPr>
              <w:t>鼓励员工文明餐饮，树牢节约意识，开展光盘行动，自觉践行绿色健康生活方式，在办公及日常生活中节约能源、保护环境，弘扬崇俭抑奢的正能量。</w:t>
            </w:r>
          </w:p>
        </w:tc>
        <w:tc>
          <w:tcPr>
            <w:tcW w:w="1808" w:type="dxa"/>
          </w:tcPr>
          <w:p>
            <w:pPr>
              <w:widowControl/>
              <w:spacing w:line="400" w:lineRule="exact"/>
              <w:rPr>
                <w:rFonts w:ascii="仿宋_GB2312" w:hAnsi="宋体" w:eastAsia="仿宋_GB2312" w:cs="宋体"/>
                <w:color w:val="000000"/>
                <w:kern w:val="0"/>
                <w:sz w:val="28"/>
                <w:szCs w:val="28"/>
                <w14:ligatures w14:val="none"/>
              </w:rPr>
            </w:pPr>
            <w:r>
              <w:rPr>
                <w:rFonts w:hint="eastAsia" w:ascii="仿宋_GB2312" w:hAnsi="宋体" w:eastAsia="仿宋_GB2312" w:cs="宋体"/>
                <w:color w:val="000000"/>
                <w:kern w:val="0"/>
                <w:sz w:val="28"/>
                <w:szCs w:val="28"/>
                <w14:ligatures w14:val="none"/>
              </w:rPr>
              <w:t>提高</w:t>
            </w:r>
            <w:r>
              <w:rPr>
                <w:rFonts w:ascii="仿宋_GB2312" w:hAnsi="宋体" w:eastAsia="仿宋_GB2312" w:cs="宋体"/>
                <w:color w:val="000000"/>
                <w:kern w:val="0"/>
                <w:sz w:val="28"/>
                <w:szCs w:val="28"/>
                <w14:ligatures w14:val="none"/>
              </w:rPr>
              <w:t>节约</w:t>
            </w:r>
            <w:r>
              <w:rPr>
                <w:rFonts w:hint="eastAsia" w:ascii="仿宋_GB2312" w:hAnsi="宋体" w:eastAsia="仿宋_GB2312" w:cs="宋体"/>
                <w:color w:val="000000"/>
                <w:kern w:val="0"/>
                <w:sz w:val="28"/>
                <w:szCs w:val="28"/>
                <w14:ligatures w14:val="none"/>
              </w:rPr>
              <w:t>意识。</w:t>
            </w:r>
          </w:p>
        </w:tc>
      </w:tr>
    </w:tbl>
    <w:p>
      <w:pPr>
        <w:widowControl/>
        <w:spacing w:line="540" w:lineRule="exact"/>
        <w:ind w:firstLine="640" w:firstLineChars="200"/>
        <w:rPr>
          <w:rFonts w:ascii="仿宋_GB2312" w:hAnsi="宋体" w:eastAsia="仿宋_GB2312" w:cs="宋体"/>
          <w:color w:val="000000"/>
          <w:kern w:val="0"/>
          <w:sz w:val="32"/>
          <w:szCs w:val="32"/>
          <w14:ligatures w14:val="none"/>
        </w:rPr>
      </w:pPr>
      <w:r>
        <w:rPr>
          <w:rFonts w:hint="eastAsia" w:ascii="仿宋_GB2312" w:hAnsi="宋体" w:eastAsia="仿宋_GB2312" w:cs="宋体"/>
          <w:color w:val="000000"/>
          <w:kern w:val="0"/>
          <w:sz w:val="32"/>
          <w:szCs w:val="32"/>
          <w14:ligatures w14:val="none"/>
        </w:rPr>
        <w:t>通过各类节能减排措施，并建立监督机制，促进员工形成良好习惯，营造了节约用电（水）、合理用电（水）、安全用电、节约用餐，反对铺张浪费等良好氛围，进一步提升了员工节能环保意识，影响身边人、带动身边人。</w:t>
      </w:r>
    </w:p>
    <w:p>
      <w:pPr>
        <w:widowControl/>
        <w:spacing w:line="520" w:lineRule="exact"/>
        <w:ind w:firstLine="643" w:firstLineChars="200"/>
        <w:jc w:val="left"/>
        <w:rPr>
          <w:rFonts w:ascii="仿宋_GB2312" w:hAnsi="仿宋_GB2312" w:eastAsia="仿宋_GB2312" w:cs="仿宋_GB2312"/>
          <w:b/>
          <w:color w:val="000000"/>
          <w:kern w:val="0"/>
          <w:sz w:val="32"/>
          <w:szCs w:val="32"/>
          <w14:ligatures w14:val="none"/>
        </w:rPr>
      </w:pPr>
      <w:r>
        <w:rPr>
          <w:rFonts w:hint="eastAsia" w:ascii="仿宋_GB2312" w:hAnsi="仿宋_GB2312" w:eastAsia="仿宋_GB2312" w:cs="仿宋_GB2312"/>
          <w:b/>
          <w:color w:val="000000"/>
          <w:kern w:val="0"/>
          <w:sz w:val="32"/>
          <w:szCs w:val="32"/>
          <w14:ligatures w14:val="none"/>
        </w:rPr>
        <w:t>2.持续开展绿色金融宣传教育</w:t>
      </w:r>
    </w:p>
    <w:p>
      <w:pPr>
        <w:widowControl/>
        <w:spacing w:line="520" w:lineRule="exact"/>
        <w:ind w:firstLine="640" w:firstLineChars="200"/>
        <w:rPr>
          <w:rFonts w:ascii="仿宋_GB2312" w:hAnsi="宋体" w:eastAsia="仿宋_GB2312" w:cs="宋体"/>
          <w:color w:val="000000"/>
          <w:kern w:val="0"/>
          <w:sz w:val="32"/>
          <w:szCs w:val="32"/>
          <w14:ligatures w14:val="none"/>
        </w:rPr>
      </w:pPr>
      <w:r>
        <w:rPr>
          <w:rFonts w:hint="eastAsia" w:ascii="仿宋_GB2312" w:hAnsi="宋体" w:eastAsia="仿宋_GB2312" w:cs="宋体"/>
          <w:color w:val="000000"/>
          <w:kern w:val="0"/>
          <w:sz w:val="32"/>
          <w:szCs w:val="32"/>
          <w14:ligatures w14:val="none"/>
        </w:rPr>
        <w:t>在环保公益方面，本行加大绿色理念培育力度，增强社会对碳中和、绿色金融知识认知，参与创城志愿者、植树造林、城乡垃圾分类等绿色文化主题活动，大力宣传绿色环保理念。本行高度重视绿色金融宣传工作，持续开展绿色金融宣传教育，加大绿色信贷产品推介力度,深入开展进社区、进街道、进园区、进企业等形式多样的绿色金融宣传活动，多视角、多层次、多渠道向社会公众介绍本行绿色金融发展成效，推介绿色金融产品和特色经验。</w:t>
      </w:r>
    </w:p>
    <w:p>
      <w:pPr>
        <w:spacing w:line="520" w:lineRule="exact"/>
        <w:ind w:firstLine="640" w:firstLineChars="200"/>
        <w:outlineLvl w:val="0"/>
        <w:rPr>
          <w:rFonts w:ascii="黑体" w:hAnsi="黑体" w:eastAsia="黑体" w:cs="仿宋"/>
          <w:sz w:val="32"/>
          <w:szCs w:val="32"/>
        </w:rPr>
      </w:pPr>
      <w:r>
        <w:rPr>
          <w:rFonts w:hint="eastAsia" w:ascii="黑体" w:hAnsi="黑体" w:eastAsia="黑体" w:cs="仿宋"/>
          <w:sz w:val="32"/>
          <w:szCs w:val="32"/>
        </w:rPr>
        <w:t>七</w:t>
      </w:r>
      <w:r>
        <w:rPr>
          <w:rFonts w:ascii="黑体" w:hAnsi="黑体" w:eastAsia="黑体" w:cs="仿宋"/>
          <w:sz w:val="32"/>
          <w:szCs w:val="32"/>
        </w:rPr>
        <w:t>、投融资活动对气候与环境的影响</w:t>
      </w:r>
    </w:p>
    <w:p>
      <w:pPr>
        <w:widowControl/>
        <w:spacing w:line="520" w:lineRule="exact"/>
        <w:ind w:firstLine="640" w:firstLineChars="200"/>
        <w:rPr>
          <w:rFonts w:ascii="仿宋_GB2312" w:eastAsia="仿宋_GB2312"/>
          <w:sz w:val="32"/>
          <w:szCs w:val="32"/>
        </w:rPr>
      </w:pPr>
      <w:r>
        <w:rPr>
          <w:rFonts w:hint="eastAsia" w:ascii="仿宋_GB2312" w:hAnsi="仿宋_GB2312" w:eastAsia="仿宋_GB2312" w:cs="仿宋_GB2312"/>
          <w:kern w:val="0"/>
          <w:sz w:val="32"/>
          <w:szCs w:val="32"/>
          <w:lang w:bidi="ar"/>
        </w:rPr>
        <w:t>本行牢固树立“绿水青山就是金山银山”的发展理念，始终以绿色金融为指引，力争</w:t>
      </w:r>
      <w:r>
        <w:rPr>
          <w:rFonts w:hint="eastAsia" w:ascii="仿宋_GB2312" w:hAnsi="宋体" w:eastAsia="仿宋_GB2312" w:cs="仿宋_GB2312"/>
          <w:kern w:val="0"/>
          <w:sz w:val="32"/>
          <w:szCs w:val="32"/>
          <w:lang w:bidi="ar"/>
        </w:rPr>
        <w:t>建成组织体系完备、政策支持有力、产品服务丰富、改革创新活跃的绿色金融体系，同时</w:t>
      </w:r>
      <w:r>
        <w:rPr>
          <w:rFonts w:hint="eastAsia" w:ascii="仿宋_GB2312" w:hAnsi="仿宋_GB2312" w:eastAsia="仿宋_GB2312" w:cs="仿宋_GB2312"/>
          <w:kern w:val="0"/>
          <w:sz w:val="32"/>
          <w:szCs w:val="32"/>
          <w:lang w:bidi="ar"/>
        </w:rPr>
        <w:t>根据本行制定的绿色信贷发展规划，确保绿色信贷业务持续增长，</w:t>
      </w:r>
      <w:r>
        <w:rPr>
          <w:rFonts w:hint="eastAsia" w:ascii="仿宋_GB2312" w:hAnsi="宋体" w:eastAsia="仿宋_GB2312" w:cs="仿宋_GB2312"/>
          <w:kern w:val="0"/>
          <w:sz w:val="32"/>
          <w:szCs w:val="32"/>
          <w:lang w:bidi="ar"/>
        </w:rPr>
        <w:t>助力经济社会发展全面绿色转型。</w:t>
      </w:r>
    </w:p>
    <w:p>
      <w:pPr>
        <w:widowControl/>
        <w:spacing w:line="520" w:lineRule="exact"/>
        <w:ind w:firstLine="640"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截至202</w:t>
      </w:r>
      <w:r>
        <w:rPr>
          <w:rFonts w:ascii="仿宋_GB2312" w:hAnsi="仿宋_GB2312" w:eastAsia="仿宋_GB2312" w:cs="仿宋_GB2312"/>
          <w:kern w:val="0"/>
          <w:sz w:val="32"/>
          <w:szCs w:val="32"/>
          <w:lang w:bidi="ar"/>
        </w:rPr>
        <w:t>4</w:t>
      </w:r>
      <w:r>
        <w:rPr>
          <w:rFonts w:hint="eastAsia" w:ascii="仿宋_GB2312" w:hAnsi="仿宋_GB2312" w:eastAsia="仿宋_GB2312" w:cs="仿宋_GB2312"/>
          <w:kern w:val="0"/>
          <w:sz w:val="32"/>
          <w:szCs w:val="32"/>
          <w:lang w:bidi="ar"/>
        </w:rPr>
        <w:t>年末，绿色信贷余额</w:t>
      </w:r>
      <w:r>
        <w:rPr>
          <w:rFonts w:ascii="仿宋_GB2312" w:hAnsi="仿宋_GB2312" w:eastAsia="仿宋_GB2312" w:cs="仿宋_GB2312"/>
          <w:kern w:val="0"/>
          <w:sz w:val="32"/>
          <w:szCs w:val="32"/>
          <w:lang w:bidi="ar"/>
        </w:rPr>
        <w:t>8.26</w:t>
      </w:r>
      <w:r>
        <w:rPr>
          <w:rFonts w:hint="eastAsia" w:ascii="仿宋_GB2312" w:hAnsi="仿宋_GB2312" w:eastAsia="仿宋_GB2312" w:cs="仿宋_GB2312"/>
          <w:kern w:val="0"/>
          <w:sz w:val="32"/>
          <w:szCs w:val="32"/>
          <w:lang w:bidi="ar"/>
        </w:rPr>
        <w:t>亿元，占比</w:t>
      </w:r>
      <w:r>
        <w:rPr>
          <w:rFonts w:ascii="仿宋_GB2312" w:hAnsi="仿宋_GB2312" w:eastAsia="仿宋_GB2312" w:cs="仿宋_GB2312"/>
          <w:kern w:val="0"/>
          <w:sz w:val="32"/>
          <w:szCs w:val="32"/>
          <w:lang w:bidi="ar"/>
        </w:rPr>
        <w:t>5.53</w:t>
      </w:r>
      <w:r>
        <w:rPr>
          <w:rFonts w:hint="eastAsia" w:ascii="仿宋_GB2312" w:hAnsi="仿宋_GB2312" w:eastAsia="仿宋_GB2312" w:cs="仿宋_GB2312"/>
          <w:kern w:val="0"/>
          <w:sz w:val="32"/>
          <w:szCs w:val="32"/>
          <w:lang w:bidi="ar"/>
        </w:rPr>
        <w:t>%，绿色信贷保持持续增长趋势，我行绿色金融投放多集中于生态环境产业，主要为林业、林下种养殖业、清洁环保能源、污水处理、低碳、环保、节能等领域，</w:t>
      </w:r>
      <w:r>
        <w:rPr>
          <w:rFonts w:hint="eastAsia" w:ascii="仿宋_GB2312" w:hAnsi="宋体" w:eastAsia="仿宋_GB2312" w:cs="仿宋_GB2312"/>
          <w:kern w:val="0"/>
          <w:sz w:val="32"/>
          <w:szCs w:val="32"/>
          <w:lang w:bidi="ar"/>
        </w:rPr>
        <w:t>进一步打通</w:t>
      </w:r>
      <w:r>
        <w:rPr>
          <w:rFonts w:hint="eastAsia" w:ascii="仿宋_GB2312" w:hAnsi="宋体" w:eastAsia="仿宋_GB2312" w:cs="宋体"/>
          <w:kern w:val="0"/>
          <w:sz w:val="32"/>
          <w:szCs w:val="32"/>
          <w:lang w:bidi="ar"/>
        </w:rPr>
        <w:t>“</w:t>
      </w:r>
      <w:r>
        <w:rPr>
          <w:rFonts w:hint="eastAsia" w:ascii="仿宋_GB2312" w:hAnsi="宋体" w:eastAsia="仿宋_GB2312" w:cs="仿宋_GB2312"/>
          <w:kern w:val="0"/>
          <w:sz w:val="32"/>
          <w:szCs w:val="32"/>
          <w:lang w:bidi="ar"/>
        </w:rPr>
        <w:t>绿水青山</w:t>
      </w:r>
      <w:r>
        <w:rPr>
          <w:rFonts w:hint="eastAsia" w:ascii="仿宋_GB2312" w:hAnsi="宋体" w:eastAsia="仿宋_GB2312" w:cs="宋体"/>
          <w:kern w:val="0"/>
          <w:sz w:val="32"/>
          <w:szCs w:val="32"/>
          <w:lang w:bidi="ar"/>
        </w:rPr>
        <w:t>”</w:t>
      </w:r>
      <w:r>
        <w:rPr>
          <w:rFonts w:hint="eastAsia" w:ascii="仿宋_GB2312" w:hAnsi="宋体" w:eastAsia="仿宋_GB2312" w:cs="仿宋_GB2312"/>
          <w:kern w:val="0"/>
          <w:sz w:val="32"/>
          <w:szCs w:val="32"/>
          <w:lang w:bidi="ar"/>
        </w:rPr>
        <w:t>向</w:t>
      </w:r>
      <w:r>
        <w:rPr>
          <w:rFonts w:hint="eastAsia" w:ascii="仿宋_GB2312" w:hAnsi="宋体" w:eastAsia="仿宋_GB2312" w:cs="宋体"/>
          <w:kern w:val="0"/>
          <w:sz w:val="32"/>
          <w:szCs w:val="32"/>
          <w:lang w:bidi="ar"/>
        </w:rPr>
        <w:t>“</w:t>
      </w:r>
      <w:r>
        <w:rPr>
          <w:rFonts w:hint="eastAsia" w:ascii="仿宋_GB2312" w:hAnsi="宋体" w:eastAsia="仿宋_GB2312" w:cs="仿宋_GB2312"/>
          <w:kern w:val="0"/>
          <w:sz w:val="32"/>
          <w:szCs w:val="32"/>
          <w:lang w:bidi="ar"/>
        </w:rPr>
        <w:t>金山银山</w:t>
      </w:r>
      <w:r>
        <w:rPr>
          <w:rFonts w:hint="eastAsia" w:ascii="仿宋_GB2312" w:hAnsi="宋体" w:eastAsia="仿宋_GB2312" w:cs="宋体"/>
          <w:kern w:val="0"/>
          <w:sz w:val="32"/>
          <w:szCs w:val="32"/>
          <w:lang w:bidi="ar"/>
        </w:rPr>
        <w:t>”</w:t>
      </w:r>
      <w:r>
        <w:rPr>
          <w:rFonts w:hint="eastAsia" w:ascii="仿宋_GB2312" w:hAnsi="宋体" w:eastAsia="仿宋_GB2312" w:cs="仿宋_GB2312"/>
          <w:kern w:val="0"/>
          <w:sz w:val="32"/>
          <w:szCs w:val="32"/>
          <w:lang w:bidi="ar"/>
        </w:rPr>
        <w:t>的转换通道</w:t>
      </w:r>
      <w:r>
        <w:rPr>
          <w:rFonts w:hint="eastAsia" w:ascii="仿宋_GB2312" w:hAnsi="仿宋_GB2312" w:eastAsia="仿宋_GB2312" w:cs="仿宋_GB2312"/>
          <w:kern w:val="0"/>
          <w:sz w:val="32"/>
          <w:szCs w:val="32"/>
          <w:lang w:bidi="ar"/>
        </w:rPr>
        <w:t>。本行暂未开办绿色债券业务，暂无大额绿色项目授信贷款。</w:t>
      </w:r>
    </w:p>
    <w:p>
      <w:pPr>
        <w:pStyle w:val="2"/>
        <w:spacing w:line="520" w:lineRule="exact"/>
        <w:jc w:val="center"/>
        <w:rPr>
          <w:rFonts w:ascii="黑体" w:hAnsi="黑体" w:eastAsia="黑体" w:cs="黑体"/>
          <w:kern w:val="0"/>
          <w:sz w:val="28"/>
          <w:szCs w:val="28"/>
          <w:u w:color="000000"/>
          <w:lang w:val="zh-TW"/>
        </w:rPr>
      </w:pPr>
      <w:r>
        <w:rPr>
          <w:rFonts w:hint="eastAsia" w:ascii="黑体" w:hAnsi="黑体" w:eastAsia="黑体" w:cs="黑体"/>
          <w:kern w:val="0"/>
          <w:sz w:val="28"/>
          <w:szCs w:val="28"/>
          <w:u w:color="000000"/>
          <w:lang w:val="zh-TW"/>
        </w:rPr>
        <w:t>投融资活动对气候与环境的影响</w:t>
      </w:r>
    </w:p>
    <w:tbl>
      <w:tblPr>
        <w:tblStyle w:val="9"/>
        <w:tblW w:w="7920" w:type="dxa"/>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0" w:type="dxa"/>
          <w:bottom w:w="0" w:type="dxa"/>
          <w:right w:w="0" w:type="dxa"/>
        </w:tblCellMar>
      </w:tblPr>
      <w:tblGrid>
        <w:gridCol w:w="2595"/>
        <w:gridCol w:w="3495"/>
        <w:gridCol w:w="1830"/>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510" w:hRule="exact"/>
          <w:jc w:val="center"/>
        </w:trPr>
        <w:tc>
          <w:tcPr>
            <w:tcW w:w="2595" w:type="dxa"/>
            <w:tcBorders>
              <w:bottom w:val="single" w:color="auto" w:sz="4" w:space="0"/>
              <w:right w:val="single" w:color="auto" w:sz="4" w:space="0"/>
            </w:tcBorders>
            <w:vAlign w:val="center"/>
          </w:tcPr>
          <w:p>
            <w:pPr>
              <w:spacing w:line="520" w:lineRule="exact"/>
              <w:jc w:val="center"/>
              <w:rPr>
                <w:rFonts w:ascii="仿宋_GB2312" w:hAnsi="仿宋" w:eastAsia="仿宋_GB2312" w:cs="仿宋"/>
                <w:b/>
                <w:bCs/>
                <w:sz w:val="28"/>
                <w:szCs w:val="28"/>
              </w:rPr>
            </w:pPr>
            <w:bookmarkStart w:id="11" w:name="RANGE!A1"/>
            <w:r>
              <w:rPr>
                <w:rFonts w:hint="eastAsia" w:ascii="仿宋_GB2312" w:hAnsi="仿宋" w:eastAsia="仿宋_GB2312" w:cs="仿宋"/>
                <w:b/>
                <w:bCs/>
                <w:sz w:val="28"/>
                <w:szCs w:val="28"/>
                <w:lang w:eastAsia="zh-TW"/>
              </w:rPr>
              <w:t>指标名称</w:t>
            </w:r>
            <w:bookmarkEnd w:id="11"/>
          </w:p>
        </w:tc>
        <w:tc>
          <w:tcPr>
            <w:tcW w:w="3495" w:type="dxa"/>
            <w:tcBorders>
              <w:left w:val="nil"/>
              <w:bottom w:val="single" w:color="auto" w:sz="4" w:space="0"/>
              <w:right w:val="single" w:color="auto" w:sz="4" w:space="0"/>
            </w:tcBorders>
            <w:vAlign w:val="center"/>
          </w:tcPr>
          <w:p>
            <w:pPr>
              <w:spacing w:line="520" w:lineRule="exact"/>
              <w:jc w:val="center"/>
              <w:rPr>
                <w:rFonts w:ascii="仿宋_GB2312" w:hAnsi="仿宋" w:eastAsia="仿宋_GB2312" w:cs="仿宋"/>
                <w:b/>
                <w:bCs/>
                <w:sz w:val="28"/>
                <w:szCs w:val="28"/>
              </w:rPr>
            </w:pPr>
            <w:r>
              <w:rPr>
                <w:rFonts w:hint="eastAsia" w:ascii="仿宋_GB2312" w:hAnsi="仿宋" w:eastAsia="仿宋_GB2312" w:cs="仿宋"/>
                <w:b/>
                <w:bCs/>
                <w:sz w:val="28"/>
                <w:szCs w:val="28"/>
                <w:lang w:eastAsia="zh-TW"/>
              </w:rPr>
              <w:t>披露细项</w:t>
            </w:r>
          </w:p>
        </w:tc>
        <w:tc>
          <w:tcPr>
            <w:tcW w:w="1830" w:type="dxa"/>
            <w:tcBorders>
              <w:left w:val="nil"/>
              <w:bottom w:val="single" w:color="auto" w:sz="4" w:space="0"/>
              <w:right w:val="single" w:color="auto" w:sz="4" w:space="0"/>
            </w:tcBorders>
          </w:tcPr>
          <w:p>
            <w:pPr>
              <w:spacing w:line="520" w:lineRule="exact"/>
              <w:jc w:val="center"/>
              <w:rPr>
                <w:rFonts w:ascii="仿宋_GB2312" w:hAnsi="仿宋" w:eastAsia="仿宋_GB2312" w:cs="仿宋"/>
                <w:b/>
                <w:bCs/>
                <w:sz w:val="28"/>
                <w:szCs w:val="28"/>
              </w:rPr>
            </w:pPr>
            <w:r>
              <w:rPr>
                <w:rFonts w:hint="eastAsia" w:ascii="仿宋_GB2312" w:hAnsi="仿宋" w:eastAsia="仿宋_GB2312" w:cs="仿宋"/>
                <w:b/>
                <w:bCs/>
                <w:sz w:val="28"/>
                <w:szCs w:val="28"/>
              </w:rPr>
              <w:t>披露数据</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510" w:hRule="exact"/>
          <w:jc w:val="center"/>
        </w:trPr>
        <w:tc>
          <w:tcPr>
            <w:tcW w:w="2595" w:type="dxa"/>
            <w:vMerge w:val="restart"/>
            <w:tcBorders>
              <w:top w:val="nil"/>
              <w:bottom w:val="single" w:color="auto" w:sz="4" w:space="0"/>
              <w:right w:val="single" w:color="auto" w:sz="4" w:space="0"/>
            </w:tcBorders>
            <w:vAlign w:val="center"/>
          </w:tcPr>
          <w:p>
            <w:pPr>
              <w:spacing w:line="520" w:lineRule="exact"/>
              <w:jc w:val="left"/>
              <w:rPr>
                <w:rFonts w:ascii="仿宋_GB2312" w:hAnsi="仿宋" w:eastAsia="仿宋_GB2312" w:cs="仿宋"/>
                <w:sz w:val="28"/>
                <w:szCs w:val="28"/>
              </w:rPr>
            </w:pPr>
            <w:r>
              <w:rPr>
                <w:rFonts w:hint="eastAsia" w:ascii="仿宋_GB2312" w:hAnsi="仿宋" w:eastAsia="仿宋_GB2312" w:cs="仿宋"/>
                <w:sz w:val="28"/>
                <w:szCs w:val="28"/>
                <w:lang w:eastAsia="zh-TW"/>
              </w:rPr>
              <w:t>绿色</w:t>
            </w:r>
            <w:r>
              <w:rPr>
                <w:rFonts w:hint="eastAsia" w:ascii="仿宋_GB2312" w:hAnsi="仿宋" w:eastAsia="仿宋_GB2312" w:cs="仿宋"/>
                <w:sz w:val="28"/>
                <w:szCs w:val="28"/>
              </w:rPr>
              <w:t>贷款</w:t>
            </w:r>
            <w:r>
              <w:rPr>
                <w:rFonts w:hint="eastAsia" w:ascii="仿宋_GB2312" w:hAnsi="仿宋" w:eastAsia="仿宋_GB2312" w:cs="仿宋"/>
                <w:sz w:val="28"/>
                <w:szCs w:val="28"/>
                <w:lang w:eastAsia="zh-TW"/>
              </w:rPr>
              <w:t>余额及占比</w:t>
            </w:r>
          </w:p>
        </w:tc>
        <w:tc>
          <w:tcPr>
            <w:tcW w:w="3495" w:type="dxa"/>
            <w:tcBorders>
              <w:top w:val="nil"/>
              <w:left w:val="nil"/>
              <w:bottom w:val="single" w:color="auto" w:sz="4" w:space="0"/>
              <w:right w:val="single" w:color="auto" w:sz="4" w:space="0"/>
            </w:tcBorders>
            <w:vAlign w:val="center"/>
          </w:tcPr>
          <w:p>
            <w:pPr>
              <w:spacing w:line="520" w:lineRule="exact"/>
              <w:jc w:val="left"/>
              <w:rPr>
                <w:rFonts w:ascii="仿宋_GB2312" w:hAnsi="仿宋" w:eastAsia="仿宋_GB2312" w:cs="仿宋"/>
                <w:sz w:val="28"/>
                <w:szCs w:val="28"/>
              </w:rPr>
            </w:pPr>
            <w:r>
              <w:rPr>
                <w:rFonts w:hint="eastAsia" w:ascii="仿宋_GB2312" w:hAnsi="仿宋" w:eastAsia="仿宋_GB2312" w:cs="仿宋"/>
                <w:sz w:val="28"/>
                <w:szCs w:val="28"/>
                <w:lang w:eastAsia="zh-TW"/>
              </w:rPr>
              <w:t>绿色</w:t>
            </w:r>
            <w:r>
              <w:rPr>
                <w:rFonts w:hint="eastAsia" w:ascii="仿宋_GB2312" w:hAnsi="仿宋" w:eastAsia="仿宋_GB2312" w:cs="仿宋"/>
                <w:sz w:val="28"/>
                <w:szCs w:val="28"/>
              </w:rPr>
              <w:t>贷款</w:t>
            </w:r>
            <w:r>
              <w:rPr>
                <w:rFonts w:hint="eastAsia" w:ascii="仿宋_GB2312" w:hAnsi="仿宋" w:eastAsia="仿宋_GB2312" w:cs="仿宋"/>
                <w:sz w:val="28"/>
                <w:szCs w:val="28"/>
                <w:lang w:eastAsia="zh-TW"/>
              </w:rPr>
              <w:t>余额（万元）</w:t>
            </w:r>
          </w:p>
        </w:tc>
        <w:tc>
          <w:tcPr>
            <w:tcW w:w="1830" w:type="dxa"/>
            <w:tcBorders>
              <w:top w:val="single" w:color="auto" w:sz="4" w:space="0"/>
              <w:left w:val="nil"/>
              <w:bottom w:val="single" w:color="auto" w:sz="4" w:space="0"/>
              <w:right w:val="single" w:color="auto" w:sz="4" w:space="0"/>
            </w:tcBorders>
          </w:tcPr>
          <w:p>
            <w:pPr>
              <w:spacing w:line="520" w:lineRule="exact"/>
              <w:jc w:val="center"/>
              <w:rPr>
                <w:rFonts w:ascii="仿宋_GB2312" w:hAnsi="仿宋" w:eastAsia="仿宋_GB2312" w:cs="仿宋"/>
                <w:sz w:val="28"/>
                <w:szCs w:val="28"/>
              </w:rPr>
            </w:pPr>
            <w:r>
              <w:rPr>
                <w:rFonts w:hint="eastAsia" w:ascii="仿宋_GB2312" w:hAnsi="仿宋" w:eastAsia="仿宋_GB2312" w:cs="仿宋"/>
                <w:sz w:val="28"/>
                <w:szCs w:val="28"/>
              </w:rPr>
              <w:t>82,560.14</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510" w:hRule="exact"/>
          <w:jc w:val="center"/>
        </w:trPr>
        <w:tc>
          <w:tcPr>
            <w:tcW w:w="2595" w:type="dxa"/>
            <w:vMerge w:val="continue"/>
            <w:tcBorders>
              <w:top w:val="nil"/>
              <w:bottom w:val="single" w:color="auto" w:sz="4" w:space="0"/>
              <w:right w:val="single" w:color="auto" w:sz="4" w:space="0"/>
            </w:tcBorders>
            <w:vAlign w:val="center"/>
          </w:tcPr>
          <w:p>
            <w:pPr>
              <w:spacing w:line="520" w:lineRule="exact"/>
              <w:jc w:val="left"/>
              <w:rPr>
                <w:rFonts w:ascii="仿宋_GB2312" w:hAnsi="仿宋" w:eastAsia="仿宋_GB2312" w:cs="仿宋"/>
                <w:sz w:val="28"/>
                <w:szCs w:val="28"/>
              </w:rPr>
            </w:pPr>
          </w:p>
        </w:tc>
        <w:tc>
          <w:tcPr>
            <w:tcW w:w="3495" w:type="dxa"/>
            <w:tcBorders>
              <w:top w:val="nil"/>
              <w:left w:val="nil"/>
              <w:bottom w:val="single" w:color="auto" w:sz="4" w:space="0"/>
              <w:right w:val="single" w:color="auto" w:sz="4" w:space="0"/>
            </w:tcBorders>
            <w:vAlign w:val="center"/>
          </w:tcPr>
          <w:p>
            <w:pPr>
              <w:spacing w:line="520" w:lineRule="exact"/>
              <w:jc w:val="left"/>
              <w:rPr>
                <w:rFonts w:ascii="仿宋_GB2312" w:hAnsi="仿宋" w:eastAsia="仿宋_GB2312" w:cs="仿宋"/>
                <w:sz w:val="28"/>
                <w:szCs w:val="28"/>
              </w:rPr>
            </w:pPr>
            <w:r>
              <w:rPr>
                <w:rFonts w:hint="eastAsia" w:ascii="仿宋_GB2312" w:hAnsi="仿宋" w:eastAsia="仿宋_GB2312" w:cs="仿宋"/>
                <w:sz w:val="28"/>
                <w:szCs w:val="28"/>
              </w:rPr>
              <w:t>各项贷款余额（万元）</w:t>
            </w:r>
          </w:p>
        </w:tc>
        <w:tc>
          <w:tcPr>
            <w:tcW w:w="1830" w:type="dxa"/>
            <w:tcBorders>
              <w:top w:val="single" w:color="auto" w:sz="4" w:space="0"/>
              <w:left w:val="nil"/>
              <w:bottom w:val="single" w:color="auto" w:sz="4" w:space="0"/>
              <w:right w:val="single" w:color="auto" w:sz="4" w:space="0"/>
            </w:tcBorders>
          </w:tcPr>
          <w:p>
            <w:pPr>
              <w:spacing w:line="520" w:lineRule="exact"/>
              <w:jc w:val="center"/>
              <w:rPr>
                <w:rFonts w:ascii="仿宋_GB2312" w:hAnsi="仿宋" w:eastAsia="仿宋_GB2312" w:cs="仿宋"/>
                <w:sz w:val="28"/>
                <w:szCs w:val="28"/>
              </w:rPr>
            </w:pPr>
            <w:r>
              <w:rPr>
                <w:rFonts w:hint="eastAsia" w:ascii="仿宋_GB2312" w:hAnsi="仿宋" w:eastAsia="仿宋_GB2312" w:cs="仿宋"/>
                <w:sz w:val="28"/>
                <w:szCs w:val="28"/>
              </w:rPr>
              <w:t>1,492,197.21</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510" w:hRule="exact"/>
          <w:jc w:val="center"/>
        </w:trPr>
        <w:tc>
          <w:tcPr>
            <w:tcW w:w="2595" w:type="dxa"/>
            <w:vMerge w:val="continue"/>
            <w:tcBorders>
              <w:top w:val="nil"/>
              <w:bottom w:val="single" w:color="auto" w:sz="4" w:space="0"/>
              <w:right w:val="single" w:color="auto" w:sz="4" w:space="0"/>
            </w:tcBorders>
            <w:vAlign w:val="center"/>
          </w:tcPr>
          <w:p>
            <w:pPr>
              <w:spacing w:line="520" w:lineRule="exact"/>
              <w:jc w:val="left"/>
              <w:rPr>
                <w:rFonts w:ascii="仿宋_GB2312" w:hAnsi="仿宋" w:eastAsia="仿宋_GB2312" w:cs="仿宋"/>
                <w:sz w:val="28"/>
                <w:szCs w:val="28"/>
              </w:rPr>
            </w:pPr>
          </w:p>
        </w:tc>
        <w:tc>
          <w:tcPr>
            <w:tcW w:w="3495" w:type="dxa"/>
            <w:tcBorders>
              <w:top w:val="nil"/>
              <w:left w:val="nil"/>
              <w:bottom w:val="single" w:color="auto" w:sz="4" w:space="0"/>
              <w:right w:val="single" w:color="auto" w:sz="4" w:space="0"/>
            </w:tcBorders>
            <w:vAlign w:val="center"/>
          </w:tcPr>
          <w:p>
            <w:pPr>
              <w:spacing w:line="520" w:lineRule="exact"/>
              <w:jc w:val="left"/>
              <w:rPr>
                <w:rFonts w:ascii="仿宋_GB2312" w:hAnsi="仿宋" w:eastAsia="仿宋_GB2312" w:cs="仿宋"/>
                <w:sz w:val="28"/>
                <w:szCs w:val="28"/>
              </w:rPr>
            </w:pPr>
            <w:r>
              <w:rPr>
                <w:rFonts w:hint="eastAsia" w:ascii="仿宋_GB2312" w:hAnsi="仿宋" w:eastAsia="仿宋_GB2312" w:cs="仿宋"/>
                <w:sz w:val="28"/>
                <w:szCs w:val="28"/>
                <w:lang w:eastAsia="zh-TW"/>
              </w:rPr>
              <w:t>绿色</w:t>
            </w:r>
            <w:r>
              <w:rPr>
                <w:rFonts w:hint="eastAsia" w:ascii="仿宋_GB2312" w:hAnsi="仿宋" w:eastAsia="仿宋_GB2312" w:cs="仿宋"/>
                <w:sz w:val="28"/>
                <w:szCs w:val="28"/>
              </w:rPr>
              <w:t>贷款</w:t>
            </w:r>
            <w:r>
              <w:rPr>
                <w:rFonts w:hint="eastAsia" w:ascii="仿宋_GB2312" w:hAnsi="仿宋" w:eastAsia="仿宋_GB2312" w:cs="仿宋"/>
                <w:sz w:val="28"/>
                <w:szCs w:val="28"/>
                <w:lang w:eastAsia="zh-TW"/>
              </w:rPr>
              <w:t>占比（</w:t>
            </w:r>
            <w:r>
              <w:rPr>
                <w:rFonts w:hint="eastAsia" w:ascii="仿宋_GB2312" w:hAnsi="仿宋" w:eastAsia="仿宋_GB2312" w:cs="仿宋"/>
                <w:sz w:val="28"/>
                <w:szCs w:val="28"/>
              </w:rPr>
              <w:t>%</w:t>
            </w:r>
            <w:r>
              <w:rPr>
                <w:rFonts w:hint="eastAsia" w:ascii="仿宋_GB2312" w:hAnsi="仿宋" w:eastAsia="仿宋_GB2312" w:cs="仿宋"/>
                <w:sz w:val="28"/>
                <w:szCs w:val="28"/>
                <w:lang w:eastAsia="zh-TW"/>
              </w:rPr>
              <w:t>）</w:t>
            </w:r>
          </w:p>
        </w:tc>
        <w:tc>
          <w:tcPr>
            <w:tcW w:w="1830" w:type="dxa"/>
            <w:tcBorders>
              <w:top w:val="single" w:color="auto" w:sz="4" w:space="0"/>
              <w:left w:val="nil"/>
              <w:bottom w:val="single" w:color="auto" w:sz="4" w:space="0"/>
              <w:right w:val="single" w:color="auto" w:sz="4" w:space="0"/>
            </w:tcBorders>
          </w:tcPr>
          <w:p>
            <w:pPr>
              <w:spacing w:line="520" w:lineRule="exact"/>
              <w:jc w:val="center"/>
              <w:rPr>
                <w:rFonts w:ascii="仿宋_GB2312" w:hAnsi="仿宋" w:eastAsia="仿宋_GB2312" w:cs="仿宋"/>
                <w:sz w:val="28"/>
                <w:szCs w:val="28"/>
              </w:rPr>
            </w:pPr>
            <w:r>
              <w:rPr>
                <w:rFonts w:hint="eastAsia" w:ascii="仿宋_GB2312" w:hAnsi="仿宋" w:eastAsia="仿宋_GB2312" w:cs="仿宋"/>
                <w:sz w:val="28"/>
                <w:szCs w:val="28"/>
              </w:rPr>
              <w:t>5.53</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510" w:hRule="exact"/>
          <w:jc w:val="center"/>
        </w:trPr>
        <w:tc>
          <w:tcPr>
            <w:tcW w:w="2595" w:type="dxa"/>
            <w:vMerge w:val="restart"/>
            <w:tcBorders>
              <w:top w:val="nil"/>
              <w:right w:val="single" w:color="auto" w:sz="4" w:space="0"/>
            </w:tcBorders>
            <w:vAlign w:val="center"/>
          </w:tcPr>
          <w:p>
            <w:pPr>
              <w:spacing w:line="520" w:lineRule="exact"/>
              <w:jc w:val="left"/>
              <w:rPr>
                <w:rFonts w:ascii="仿宋_GB2312" w:hAnsi="仿宋" w:eastAsia="仿宋_GB2312" w:cs="仿宋"/>
                <w:sz w:val="28"/>
                <w:szCs w:val="28"/>
                <w:lang w:eastAsia="zh-TW"/>
              </w:rPr>
            </w:pPr>
            <w:r>
              <w:rPr>
                <w:rFonts w:hint="eastAsia" w:ascii="仿宋_GB2312" w:hAnsi="仿宋" w:eastAsia="仿宋_GB2312" w:cs="仿宋"/>
                <w:sz w:val="28"/>
                <w:szCs w:val="28"/>
              </w:rPr>
              <w:t>持有绿色债券余额及</w:t>
            </w:r>
            <w:r>
              <w:rPr>
                <w:rFonts w:hint="eastAsia" w:ascii="仿宋_GB2312" w:hAnsi="仿宋" w:eastAsia="仿宋_GB2312" w:cs="仿宋"/>
                <w:sz w:val="28"/>
                <w:szCs w:val="28"/>
                <w:lang w:eastAsia="zh-TW"/>
              </w:rPr>
              <w:t>折合减排情况</w:t>
            </w:r>
          </w:p>
        </w:tc>
        <w:tc>
          <w:tcPr>
            <w:tcW w:w="3495" w:type="dxa"/>
            <w:tcBorders>
              <w:top w:val="nil"/>
              <w:left w:val="nil"/>
              <w:bottom w:val="single" w:color="auto" w:sz="4" w:space="0"/>
              <w:right w:val="single" w:color="auto" w:sz="4" w:space="0"/>
            </w:tcBorders>
            <w:vAlign w:val="center"/>
          </w:tcPr>
          <w:p>
            <w:pPr>
              <w:spacing w:line="520" w:lineRule="exact"/>
              <w:jc w:val="left"/>
              <w:rPr>
                <w:rFonts w:ascii="仿宋_GB2312" w:hAnsi="仿宋" w:eastAsia="仿宋_GB2312" w:cs="仿宋"/>
                <w:sz w:val="28"/>
                <w:szCs w:val="28"/>
              </w:rPr>
            </w:pPr>
            <w:r>
              <w:rPr>
                <w:rFonts w:hint="eastAsia" w:ascii="仿宋_GB2312" w:hAnsi="仿宋" w:eastAsia="仿宋_GB2312" w:cs="仿宋"/>
                <w:sz w:val="28"/>
                <w:szCs w:val="28"/>
              </w:rPr>
              <w:t>持有</w:t>
            </w:r>
            <w:r>
              <w:rPr>
                <w:rFonts w:hint="eastAsia" w:ascii="仿宋_GB2312" w:hAnsi="仿宋" w:eastAsia="仿宋_GB2312" w:cs="仿宋"/>
                <w:sz w:val="28"/>
                <w:szCs w:val="28"/>
                <w:lang w:eastAsia="zh-TW"/>
              </w:rPr>
              <w:t>绿色</w:t>
            </w:r>
            <w:r>
              <w:rPr>
                <w:rFonts w:hint="eastAsia" w:ascii="仿宋_GB2312" w:hAnsi="仿宋" w:eastAsia="仿宋_GB2312" w:cs="仿宋"/>
                <w:sz w:val="28"/>
                <w:szCs w:val="28"/>
              </w:rPr>
              <w:t>债券</w:t>
            </w:r>
            <w:r>
              <w:rPr>
                <w:rFonts w:hint="eastAsia" w:ascii="仿宋_GB2312" w:hAnsi="仿宋" w:eastAsia="仿宋_GB2312" w:cs="仿宋"/>
                <w:sz w:val="28"/>
                <w:szCs w:val="28"/>
                <w:lang w:eastAsia="zh-TW"/>
              </w:rPr>
              <w:t>余额（万元）</w:t>
            </w:r>
          </w:p>
        </w:tc>
        <w:tc>
          <w:tcPr>
            <w:tcW w:w="1830" w:type="dxa"/>
            <w:tcBorders>
              <w:top w:val="single" w:color="auto" w:sz="4" w:space="0"/>
              <w:left w:val="nil"/>
              <w:bottom w:val="single" w:color="auto" w:sz="4" w:space="0"/>
              <w:right w:val="single" w:color="auto" w:sz="4" w:space="0"/>
            </w:tcBorders>
          </w:tcPr>
          <w:p>
            <w:pPr>
              <w:spacing w:line="520" w:lineRule="exact"/>
              <w:jc w:val="center"/>
              <w:rPr>
                <w:rFonts w:ascii="仿宋_GB2312" w:hAnsi="仿宋" w:eastAsia="仿宋_GB2312" w:cs="仿宋"/>
                <w:sz w:val="28"/>
                <w:szCs w:val="28"/>
              </w:rPr>
            </w:pPr>
            <w:r>
              <w:rPr>
                <w:rFonts w:hint="eastAsia" w:ascii="仿宋_GB2312" w:hAnsi="仿宋" w:eastAsia="仿宋_GB2312" w:cs="仿宋"/>
                <w:sz w:val="28"/>
                <w:szCs w:val="28"/>
              </w:rPr>
              <w:t>0</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510" w:hRule="exact"/>
          <w:jc w:val="center"/>
        </w:trPr>
        <w:tc>
          <w:tcPr>
            <w:tcW w:w="2595" w:type="dxa"/>
            <w:vMerge w:val="continue"/>
            <w:tcBorders>
              <w:bottom w:val="single" w:color="auto" w:sz="4" w:space="0"/>
              <w:right w:val="single" w:color="auto" w:sz="4" w:space="0"/>
            </w:tcBorders>
            <w:vAlign w:val="center"/>
          </w:tcPr>
          <w:p>
            <w:pPr>
              <w:spacing w:line="520" w:lineRule="exact"/>
              <w:jc w:val="left"/>
              <w:rPr>
                <w:rFonts w:ascii="仿宋_GB2312" w:hAnsi="仿宋" w:eastAsia="仿宋_GB2312" w:cs="仿宋"/>
                <w:sz w:val="28"/>
                <w:szCs w:val="28"/>
                <w:lang w:eastAsia="zh-TW"/>
              </w:rPr>
            </w:pPr>
          </w:p>
        </w:tc>
        <w:tc>
          <w:tcPr>
            <w:tcW w:w="3495" w:type="dxa"/>
            <w:tcBorders>
              <w:top w:val="nil"/>
              <w:left w:val="nil"/>
              <w:bottom w:val="single" w:color="auto" w:sz="4" w:space="0"/>
              <w:right w:val="single" w:color="auto" w:sz="4" w:space="0"/>
            </w:tcBorders>
            <w:vAlign w:val="center"/>
          </w:tcPr>
          <w:p>
            <w:pPr>
              <w:spacing w:line="520" w:lineRule="exact"/>
              <w:jc w:val="left"/>
              <w:rPr>
                <w:rFonts w:ascii="仿宋_GB2312" w:hAnsi="仿宋" w:eastAsia="仿宋_GB2312" w:cs="仿宋"/>
                <w:sz w:val="28"/>
                <w:szCs w:val="28"/>
              </w:rPr>
            </w:pPr>
            <w:r>
              <w:rPr>
                <w:rFonts w:hint="eastAsia" w:ascii="仿宋_GB2312" w:hAnsi="仿宋" w:eastAsia="仿宋_GB2312" w:cs="仿宋"/>
                <w:sz w:val="28"/>
                <w:szCs w:val="28"/>
                <w:lang w:eastAsia="zh-TW"/>
              </w:rPr>
              <w:t>折合减排二氧化碳当量（吨）</w:t>
            </w:r>
          </w:p>
        </w:tc>
        <w:tc>
          <w:tcPr>
            <w:tcW w:w="1830" w:type="dxa"/>
            <w:tcBorders>
              <w:top w:val="single" w:color="auto" w:sz="4" w:space="0"/>
              <w:left w:val="nil"/>
              <w:bottom w:val="single" w:color="auto" w:sz="4" w:space="0"/>
              <w:right w:val="single" w:color="auto" w:sz="4" w:space="0"/>
            </w:tcBorders>
          </w:tcPr>
          <w:p>
            <w:pPr>
              <w:spacing w:line="520" w:lineRule="exact"/>
              <w:jc w:val="center"/>
              <w:rPr>
                <w:rFonts w:ascii="仿宋_GB2312" w:hAnsi="仿宋" w:eastAsia="仿宋_GB2312" w:cs="仿宋"/>
                <w:sz w:val="28"/>
                <w:szCs w:val="28"/>
              </w:rPr>
            </w:pPr>
            <w:r>
              <w:rPr>
                <w:rFonts w:hint="eastAsia" w:ascii="仿宋_GB2312" w:hAnsi="仿宋" w:eastAsia="仿宋_GB2312" w:cs="仿宋"/>
                <w:sz w:val="28"/>
                <w:szCs w:val="28"/>
              </w:rPr>
              <w:t>0</w:t>
            </w:r>
          </w:p>
        </w:tc>
      </w:tr>
    </w:tbl>
    <w:p>
      <w:pPr>
        <w:spacing w:line="520" w:lineRule="exact"/>
        <w:ind w:firstLine="640" w:firstLineChars="200"/>
        <w:outlineLvl w:val="0"/>
        <w:rPr>
          <w:rFonts w:ascii="黑体" w:hAnsi="黑体" w:eastAsia="黑体" w:cs="仿宋"/>
          <w:sz w:val="32"/>
          <w:szCs w:val="32"/>
        </w:rPr>
      </w:pPr>
      <w:r>
        <w:rPr>
          <w:rFonts w:hint="eastAsia" w:ascii="黑体" w:hAnsi="黑体" w:eastAsia="黑体" w:cs="仿宋"/>
          <w:sz w:val="32"/>
          <w:szCs w:val="32"/>
        </w:rPr>
        <w:t>八</w:t>
      </w:r>
      <w:r>
        <w:rPr>
          <w:rFonts w:ascii="黑体" w:hAnsi="黑体" w:eastAsia="黑体" w:cs="仿宋"/>
          <w:sz w:val="32"/>
          <w:szCs w:val="32"/>
        </w:rPr>
        <w:t>、未来展望</w:t>
      </w:r>
    </w:p>
    <w:p>
      <w:pPr>
        <w:spacing w:line="52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作为农村金融主力军和乡村振兴的主办行，龙岩农商银行</w:t>
      </w:r>
      <w:r>
        <w:rPr>
          <w:rFonts w:hint="eastAsia" w:ascii="仿宋_GB2312" w:hAnsi="仿宋_GB2312" w:eastAsia="仿宋_GB2312" w:cs="仿宋_GB2312"/>
          <w:kern w:val="0"/>
          <w:sz w:val="32"/>
          <w:szCs w:val="32"/>
          <w:lang w:bidi="ar"/>
        </w:rPr>
        <w:t>将始终</w:t>
      </w:r>
      <w:r>
        <w:rPr>
          <w:rFonts w:hint="eastAsia" w:ascii="仿宋_GB2312" w:hAnsi="宋体" w:eastAsia="仿宋_GB2312" w:cs="仿宋_GB2312"/>
          <w:kern w:val="0"/>
          <w:sz w:val="32"/>
          <w:szCs w:val="32"/>
          <w:lang w:bidi="ar"/>
        </w:rPr>
        <w:t>坚持以习近平新时代中国特色社会主义思想为指导，深入贯彻落实习近平生态文明思想，践行</w:t>
      </w:r>
      <w:r>
        <w:rPr>
          <w:rFonts w:hint="eastAsia" w:ascii="仿宋_GB2312" w:hAnsi="宋体" w:eastAsia="仿宋_GB2312" w:cs="宋体"/>
          <w:kern w:val="0"/>
          <w:sz w:val="32"/>
          <w:szCs w:val="32"/>
          <w:lang w:bidi="ar"/>
        </w:rPr>
        <w:t>“</w:t>
      </w:r>
      <w:r>
        <w:rPr>
          <w:rFonts w:hint="eastAsia" w:ascii="仿宋_GB2312" w:hAnsi="宋体" w:eastAsia="仿宋_GB2312" w:cs="仿宋_GB2312"/>
          <w:kern w:val="0"/>
          <w:sz w:val="32"/>
          <w:szCs w:val="32"/>
          <w:lang w:bidi="ar"/>
        </w:rPr>
        <w:t>绿水青山就是金山银山</w:t>
      </w:r>
      <w:r>
        <w:rPr>
          <w:rFonts w:hint="eastAsia" w:ascii="仿宋_GB2312" w:hAnsi="宋体" w:eastAsia="仿宋_GB2312" w:cs="宋体"/>
          <w:kern w:val="0"/>
          <w:sz w:val="32"/>
          <w:szCs w:val="32"/>
          <w:lang w:bidi="ar"/>
        </w:rPr>
        <w:t>”</w:t>
      </w:r>
      <w:r>
        <w:rPr>
          <w:rFonts w:hint="eastAsia" w:ascii="仿宋_GB2312" w:hAnsi="宋体" w:eastAsia="仿宋_GB2312" w:cs="仿宋_GB2312"/>
          <w:kern w:val="0"/>
          <w:sz w:val="32"/>
          <w:szCs w:val="32"/>
          <w:lang w:bidi="ar"/>
        </w:rPr>
        <w:t>的发展理念，以及“着力推进绿色发展、循环发展和低碳发展”的战略部署。本行将牢固树立创新、协调、绿色、开放、共享的发展理念，勇当绿色金融的排头兵和先行者，将绿色金融战略与农村金融战略有机融合，</w:t>
      </w:r>
      <w:r>
        <w:rPr>
          <w:rFonts w:hint="eastAsia" w:ascii="仿宋_GB2312" w:hAnsi="仿宋" w:eastAsia="仿宋_GB2312"/>
          <w:sz w:val="32"/>
          <w:szCs w:val="32"/>
        </w:rPr>
        <w:t>构建</w:t>
      </w:r>
      <w:r>
        <w:rPr>
          <w:rFonts w:hint="eastAsia" w:ascii="仿宋_GB2312" w:hAnsi="仿宋" w:eastAsia="仿宋_GB2312" w:cs="宋体"/>
          <w:sz w:val="32"/>
          <w:szCs w:val="32"/>
        </w:rPr>
        <w:t>“绿色产业+金融服务+金融产业”的绿色服务体系，</w:t>
      </w:r>
      <w:r>
        <w:rPr>
          <w:rFonts w:hint="eastAsia" w:ascii="仿宋_GB2312" w:hAnsi="仿宋" w:eastAsia="仿宋_GB2312" w:cs="仿宋"/>
          <w:sz w:val="32"/>
          <w:szCs w:val="32"/>
        </w:rPr>
        <w:t>主动融入林改工作大局，积极布局绿色金融业务，强化绿色信贷意识，加大绿色金融供给力度。通过更优质的服务、更创新的产品引导金融活水精准浇灌绿色产业，助力林业发展、林农增收、林区繁荣。龙岩农商银行将全力以赴打好绿色生态牌，助推“绿色群山”成为“富民靠山”，为龙岩市的生态文明建设和乡村振兴贡献农商力量，助力实现经济、社会和生态的协调发展。</w:t>
      </w:r>
    </w:p>
    <w:p>
      <w:pPr>
        <w:pStyle w:val="2"/>
      </w:pPr>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roman"/>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18632644"/>
      <w:docPartObj>
        <w:docPartGallery w:val="AutoText"/>
      </w:docPartObj>
    </w:sdtPr>
    <w:sdtContent>
      <w:p>
        <w:pPr>
          <w:pStyle w:val="5"/>
          <w:jc w:val="center"/>
        </w:pPr>
        <w:r>
          <w:fldChar w:fldCharType="begin"/>
        </w:r>
        <w:r>
          <w:instrText xml:space="preserve">PAGE   \* MERGEFORMAT</w:instrText>
        </w:r>
        <w:r>
          <w:fldChar w:fldCharType="separate"/>
        </w:r>
        <w:r>
          <w:rPr>
            <w:lang w:val="zh-CN"/>
          </w:rPr>
          <w:t>9</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1FDD"/>
    <w:rsid w:val="000B68B8"/>
    <w:rsid w:val="001C4D63"/>
    <w:rsid w:val="002409F1"/>
    <w:rsid w:val="002C5DFE"/>
    <w:rsid w:val="003106E2"/>
    <w:rsid w:val="003B1792"/>
    <w:rsid w:val="00543F8E"/>
    <w:rsid w:val="00851FDD"/>
    <w:rsid w:val="00891DCB"/>
    <w:rsid w:val="00923E22"/>
    <w:rsid w:val="009A7981"/>
    <w:rsid w:val="00AD3171"/>
    <w:rsid w:val="00C0295A"/>
    <w:rsid w:val="00DA6F1E"/>
    <w:rsid w:val="1C285753"/>
    <w:rsid w:val="567C7C5A"/>
    <w:rsid w:val="5CDF52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14:ligatures w14:val="standardContextual"/>
    </w:rPr>
  </w:style>
  <w:style w:type="paragraph" w:styleId="4">
    <w:name w:val="heading 1"/>
    <w:basedOn w:val="1"/>
    <w:next w:val="1"/>
    <w:link w:val="17"/>
    <w:qFormat/>
    <w:uiPriority w:val="9"/>
    <w:pPr>
      <w:keepNext/>
      <w:keepLines/>
      <w:spacing w:before="340" w:after="330" w:line="578" w:lineRule="auto"/>
      <w:outlineLvl w:val="0"/>
    </w:pPr>
    <w:rPr>
      <w:b/>
      <w:bCs/>
      <w:kern w:val="44"/>
      <w:sz w:val="44"/>
      <w:szCs w:val="44"/>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alloon Text"/>
    <w:basedOn w:val="1"/>
    <w:next w:val="3"/>
    <w:link w:val="16"/>
    <w:unhideWhenUsed/>
    <w:qFormat/>
    <w:uiPriority w:val="99"/>
    <w:rPr>
      <w:sz w:val="18"/>
      <w:szCs w:val="18"/>
    </w:rPr>
  </w:style>
  <w:style w:type="paragraph" w:customStyle="1" w:styleId="3">
    <w:name w:val="正文缩进311"/>
    <w:next w:val="1"/>
    <w:qFormat/>
    <w:uiPriority w:val="0"/>
    <w:pPr>
      <w:wordWrap w:val="0"/>
      <w:ind w:left="3400"/>
      <w:jc w:val="both"/>
    </w:pPr>
    <w:rPr>
      <w:rFonts w:ascii="Calibri" w:hAnsi="Calibri" w:eastAsia="宋体" w:cs="Times New Roman"/>
      <w:sz w:val="21"/>
      <w:szCs w:val="22"/>
      <w:lang w:val="en-US" w:eastAsia="zh-CN" w:bidi="ar-SA"/>
    </w:rPr>
  </w:style>
  <w:style w:type="paragraph" w:styleId="5">
    <w:name w:val="footer"/>
    <w:basedOn w:val="1"/>
    <w:link w:val="15"/>
    <w:unhideWhenUsed/>
    <w:qFormat/>
    <w:uiPriority w:val="99"/>
    <w:pPr>
      <w:tabs>
        <w:tab w:val="center" w:pos="4153"/>
        <w:tab w:val="right" w:pos="8306"/>
      </w:tabs>
      <w:snapToGrid w:val="0"/>
      <w:jc w:val="left"/>
    </w:pPr>
    <w:rPr>
      <w:sz w:val="18"/>
      <w:szCs w:val="18"/>
      <w14:ligatures w14:val="none"/>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14:ligatures w14:val="none"/>
    </w:rPr>
  </w:style>
  <w:style w:type="paragraph" w:styleId="7">
    <w:name w:val="toc 1"/>
    <w:basedOn w:val="1"/>
    <w:next w:val="1"/>
    <w:unhideWhenUsed/>
    <w:qFormat/>
    <w:uiPriority w:val="39"/>
  </w:style>
  <w:style w:type="paragraph" w:styleId="8">
    <w:name w:val="toc 2"/>
    <w:basedOn w:val="1"/>
    <w:next w:val="1"/>
    <w:unhideWhenUsed/>
    <w:qFormat/>
    <w:uiPriority w:val="39"/>
    <w:pPr>
      <w:ind w:left="420" w:leftChars="200"/>
    </w:pPr>
  </w:style>
  <w:style w:type="table" w:styleId="10">
    <w:name w:val="Table Grid"/>
    <w:basedOn w:val="9"/>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rFonts w:ascii="Calibri" w:hAnsi="Calibri" w:eastAsia="宋体" w:cs="Times New Roman"/>
      <w:b/>
      <w:bCs/>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customStyle="1" w:styleId="14">
    <w:name w:val="页眉 字符"/>
    <w:basedOn w:val="11"/>
    <w:link w:val="6"/>
    <w:qFormat/>
    <w:uiPriority w:val="99"/>
    <w:rPr>
      <w:sz w:val="18"/>
      <w:szCs w:val="18"/>
    </w:rPr>
  </w:style>
  <w:style w:type="character" w:customStyle="1" w:styleId="15">
    <w:name w:val="页脚 字符"/>
    <w:basedOn w:val="11"/>
    <w:link w:val="5"/>
    <w:qFormat/>
    <w:uiPriority w:val="99"/>
    <w:rPr>
      <w:sz w:val="18"/>
      <w:szCs w:val="18"/>
    </w:rPr>
  </w:style>
  <w:style w:type="character" w:customStyle="1" w:styleId="16">
    <w:name w:val="批注框文本 字符"/>
    <w:basedOn w:val="11"/>
    <w:link w:val="2"/>
    <w:qFormat/>
    <w:uiPriority w:val="99"/>
    <w:rPr>
      <w:sz w:val="18"/>
      <w:szCs w:val="18"/>
      <w14:ligatures w14:val="standardContextual"/>
    </w:rPr>
  </w:style>
  <w:style w:type="character" w:customStyle="1" w:styleId="17">
    <w:name w:val="标题 1 字符"/>
    <w:basedOn w:val="11"/>
    <w:link w:val="4"/>
    <w:qFormat/>
    <w:uiPriority w:val="9"/>
    <w:rPr>
      <w:b/>
      <w:bCs/>
      <w:kern w:val="44"/>
      <w:sz w:val="44"/>
      <w:szCs w:val="44"/>
      <w14:ligatures w14:val="standardContextual"/>
    </w:rPr>
  </w:style>
  <w:style w:type="paragraph" w:customStyle="1" w:styleId="18">
    <w:name w:val="TOC 标题1"/>
    <w:basedOn w:val="4"/>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14:ligatures w14: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28EAFE-A620-4F99-ACC7-A8408569D7BF}">
  <ds:schemaRefs/>
</ds:datastoreItem>
</file>

<file path=docProps/app.xml><?xml version="1.0" encoding="utf-8"?>
<Properties xmlns="http://schemas.openxmlformats.org/officeDocument/2006/extended-properties" xmlns:vt="http://schemas.openxmlformats.org/officeDocument/2006/docPropsVTypes">
  <Template>Normal.dotm</Template>
  <Pages>1</Pages>
  <Words>1096</Words>
  <Characters>6249</Characters>
  <Lines>52</Lines>
  <Paragraphs>14</Paragraphs>
  <TotalTime>34</TotalTime>
  <ScaleCrop>false</ScaleCrop>
  <LinksUpToDate>false</LinksUpToDate>
  <CharactersWithSpaces>7331</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2025-04-06T03:59:00Z</dcterms:created>
  <dc:creator>admin</dc:creator>
  <cp:lastModifiedBy>Administrator</cp:lastModifiedBy>
  <cp:lastPrinted>2025-05-06T07:44:00Z</cp:lastPrinted>
  <dcterms:modified xsi:type="dcterms:W3CDTF">2025-05-08T03:48:49Z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1FC39407E1C14210927C50C3BD2DEEC3</vt:lpwstr>
  </property>
</Properties>
</file>