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hint="eastAsia" w:ascii="方正小标宋简体" w:hAnsi="宋体" w:eastAsia="方正小标宋简体"/>
          <w:bCs/>
          <w:sz w:val="36"/>
          <w:szCs w:val="36"/>
          <w:highlight w:val="none"/>
        </w:rPr>
      </w:pPr>
      <w:r>
        <w:rPr>
          <w:rFonts w:hint="eastAsia" w:ascii="方正小标宋简体" w:hAnsi="宋体" w:eastAsia="方正小标宋简体"/>
          <w:bCs/>
          <w:sz w:val="36"/>
          <w:szCs w:val="36"/>
          <w:highlight w:val="none"/>
        </w:rPr>
        <w:t>连城县农村信用合作联社</w:t>
      </w:r>
    </w:p>
    <w:p>
      <w:pPr>
        <w:snapToGrid w:val="0"/>
        <w:spacing w:line="520" w:lineRule="exact"/>
        <w:jc w:val="center"/>
        <w:rPr>
          <w:rFonts w:hint="eastAsia" w:ascii="方正小标宋简体" w:hAnsi="宋体" w:eastAsia="方正小标宋简体"/>
          <w:bCs/>
          <w:sz w:val="36"/>
          <w:szCs w:val="36"/>
          <w:highlight w:val="none"/>
          <w:lang w:eastAsia="zh-CN"/>
        </w:rPr>
      </w:pPr>
      <w:r>
        <w:rPr>
          <w:rFonts w:hint="eastAsia" w:ascii="方正小标宋简体" w:hAnsi="宋体" w:eastAsia="方正小标宋简体"/>
          <w:bCs/>
          <w:sz w:val="36"/>
          <w:szCs w:val="36"/>
          <w:highlight w:val="none"/>
        </w:rPr>
        <w:t>2024年度信息披露报告</w:t>
      </w:r>
    </w:p>
    <w:p>
      <w:pPr>
        <w:snapToGrid w:val="0"/>
        <w:spacing w:line="520" w:lineRule="exact"/>
        <w:jc w:val="center"/>
        <w:rPr>
          <w:rFonts w:ascii="方正小标宋简体" w:hAnsi="宋体" w:eastAsia="方正小标宋简体"/>
          <w:bCs/>
          <w:sz w:val="36"/>
          <w:szCs w:val="36"/>
          <w:highlight w:val="none"/>
        </w:rPr>
      </w:pPr>
    </w:p>
    <w:p>
      <w:pPr>
        <w:snapToGrid w:val="0"/>
        <w:spacing w:line="520" w:lineRule="exact"/>
        <w:jc w:val="center"/>
        <w:rPr>
          <w:rFonts w:ascii="方正小标宋简体" w:hAnsi="黑体" w:eastAsia="方正小标宋简体" w:cs="宋体"/>
          <w:spacing w:val="20"/>
          <w:kern w:val="0"/>
          <w:sz w:val="48"/>
          <w:szCs w:val="48"/>
          <w:highlight w:val="none"/>
        </w:rPr>
      </w:pPr>
      <w:r>
        <w:rPr>
          <w:rFonts w:hint="eastAsia" w:ascii="方正小标宋简体" w:hAnsi="仿宋" w:eastAsia="方正小标宋简体"/>
          <w:bCs/>
          <w:sz w:val="32"/>
          <w:szCs w:val="32"/>
          <w:highlight w:val="none"/>
        </w:rPr>
        <w:t>目   录</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第一章  重要提示 …………………………………… —2—</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第二章  释义及重要提示 …………………………… —2—</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第三章  基本情况简介 ……………………………… —3—</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第四章  会计数据和财务指标摘要 ………………… —4—</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第五章  理事会报告 ………………………………… —</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第六章  重要事项 ……………………………………—22—</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第七章  股份变动及股东情况 ………………………—2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w:t>
      </w:r>
    </w:p>
    <w:p>
      <w:pPr>
        <w:spacing w:line="520" w:lineRule="exact"/>
        <w:ind w:left="1280" w:hanging="1280" w:hangingChars="400"/>
        <w:rPr>
          <w:rFonts w:ascii="仿宋_GB2312" w:eastAsia="仿宋_GB2312"/>
          <w:sz w:val="32"/>
          <w:szCs w:val="32"/>
          <w:highlight w:val="none"/>
        </w:rPr>
      </w:pPr>
      <w:r>
        <w:rPr>
          <w:rFonts w:hint="eastAsia" w:ascii="仿宋_GB2312" w:eastAsia="仿宋_GB2312"/>
          <w:sz w:val="32"/>
          <w:szCs w:val="32"/>
          <w:highlight w:val="none"/>
        </w:rPr>
        <w:t>第八章理事、监事、高级管理人员、员工和机构情况 ……………………………………………—</w:t>
      </w:r>
      <w:r>
        <w:rPr>
          <w:rFonts w:hint="eastAsia" w:ascii="仿宋_GB2312" w:eastAsia="仿宋_GB2312"/>
          <w:sz w:val="32"/>
          <w:szCs w:val="32"/>
          <w:highlight w:val="none"/>
          <w:lang w:val="en-US" w:eastAsia="zh-CN"/>
        </w:rPr>
        <w:t>29</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第九章  公司治理 ……………………………………—3</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第十章  内部控制 ……………………………………—</w:t>
      </w:r>
      <w:r>
        <w:rPr>
          <w:rFonts w:hint="eastAsia" w:ascii="仿宋_GB2312" w:eastAsia="仿宋_GB2312"/>
          <w:sz w:val="32"/>
          <w:szCs w:val="32"/>
          <w:highlight w:val="none"/>
          <w:lang w:val="en-US" w:eastAsia="zh-CN"/>
        </w:rPr>
        <w:t>40</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第十一章  监事会报告 ………………………………—4</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第十二章  高级管理层运作情况 ……………………—</w:t>
      </w:r>
      <w:r>
        <w:rPr>
          <w:rFonts w:hint="eastAsia" w:ascii="仿宋_GB2312" w:eastAsia="仿宋_GB2312"/>
          <w:sz w:val="32"/>
          <w:szCs w:val="32"/>
          <w:highlight w:val="none"/>
          <w:lang w:val="en-US" w:eastAsia="zh-CN"/>
        </w:rPr>
        <w:t>50</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r>
        <w:rPr>
          <w:rFonts w:hint="eastAsia" w:ascii="仿宋_GB2312" w:eastAsia="仿宋_GB2312"/>
          <w:sz w:val="32"/>
          <w:szCs w:val="32"/>
          <w:highlight w:val="none"/>
        </w:rPr>
        <w:t>第十三章  备查文件目录 ……………………………—5</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bookmarkStart w:id="0" w:name="_Toc511721813"/>
      <w:r>
        <w:rPr>
          <w:rFonts w:hint="eastAsia" w:ascii="仿宋_GB2312" w:eastAsia="仿宋_GB2312"/>
          <w:sz w:val="32"/>
          <w:szCs w:val="32"/>
          <w:highlight w:val="none"/>
        </w:rPr>
        <w:t>第十四章  财务报告………………………………… —5</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w:t>
      </w:r>
    </w:p>
    <w:p>
      <w:pPr>
        <w:spacing w:line="520" w:lineRule="exact"/>
        <w:rPr>
          <w:rFonts w:ascii="仿宋_GB2312" w:eastAsia="仿宋_GB2312"/>
          <w:sz w:val="32"/>
          <w:szCs w:val="32"/>
          <w:highlight w:val="none"/>
        </w:rPr>
      </w:pPr>
    </w:p>
    <w:p>
      <w:pPr>
        <w:spacing w:line="520" w:lineRule="exact"/>
        <w:rPr>
          <w:rFonts w:ascii="仿宋_GB2312" w:eastAsia="仿宋_GB2312"/>
          <w:sz w:val="32"/>
          <w:szCs w:val="32"/>
          <w:highlight w:val="none"/>
        </w:rPr>
      </w:pPr>
    </w:p>
    <w:p>
      <w:pPr>
        <w:spacing w:line="520" w:lineRule="exact"/>
        <w:jc w:val="center"/>
        <w:rPr>
          <w:rFonts w:ascii="仿宋_GB2312" w:eastAsia="仿宋_GB2312"/>
          <w:sz w:val="32"/>
          <w:szCs w:val="32"/>
          <w:highlight w:val="none"/>
        </w:rPr>
      </w:pPr>
    </w:p>
    <w:p>
      <w:pPr>
        <w:spacing w:line="520" w:lineRule="exact"/>
        <w:jc w:val="center"/>
        <w:rPr>
          <w:rFonts w:ascii="仿宋_GB2312" w:eastAsia="仿宋_GB2312"/>
          <w:sz w:val="32"/>
          <w:szCs w:val="32"/>
          <w:highlight w:val="none"/>
        </w:rPr>
      </w:pPr>
    </w:p>
    <w:p>
      <w:pPr>
        <w:spacing w:line="520" w:lineRule="exact"/>
        <w:jc w:val="center"/>
        <w:rPr>
          <w:rFonts w:ascii="仿宋_GB2312" w:eastAsia="仿宋_GB2312"/>
          <w:sz w:val="32"/>
          <w:szCs w:val="32"/>
          <w:highlight w:val="none"/>
        </w:rPr>
      </w:pPr>
    </w:p>
    <w:p>
      <w:pPr>
        <w:spacing w:line="520" w:lineRule="exact"/>
        <w:rPr>
          <w:rFonts w:ascii="仿宋_GB2312" w:eastAsia="仿宋_GB2312"/>
          <w:sz w:val="32"/>
          <w:szCs w:val="32"/>
          <w:highlight w:val="none"/>
        </w:rPr>
      </w:pPr>
    </w:p>
    <w:p>
      <w:pPr>
        <w:spacing w:line="520" w:lineRule="exact"/>
        <w:rPr>
          <w:rFonts w:ascii="仿宋_GB2312" w:eastAsia="仿宋_GB2312"/>
          <w:sz w:val="32"/>
          <w:szCs w:val="32"/>
          <w:highlight w:val="none"/>
        </w:rPr>
      </w:pPr>
    </w:p>
    <w:p>
      <w:pPr>
        <w:spacing w:line="520" w:lineRule="exact"/>
        <w:rPr>
          <w:rFonts w:ascii="仿宋_GB2312" w:eastAsia="仿宋_GB2312"/>
          <w:sz w:val="32"/>
          <w:szCs w:val="32"/>
          <w:highlight w:val="none"/>
        </w:rPr>
      </w:pPr>
    </w:p>
    <w:p>
      <w:pPr>
        <w:spacing w:line="520" w:lineRule="exact"/>
        <w:jc w:val="center"/>
        <w:rPr>
          <w:rFonts w:ascii="黑体" w:hAnsi="黑体" w:eastAsia="黑体"/>
          <w:sz w:val="32"/>
          <w:szCs w:val="32"/>
          <w:highlight w:val="none"/>
        </w:rPr>
      </w:pPr>
      <w:r>
        <w:rPr>
          <w:rFonts w:hint="eastAsia" w:ascii="黑体" w:hAnsi="黑体" w:eastAsia="黑体"/>
          <w:sz w:val="32"/>
          <w:szCs w:val="32"/>
          <w:highlight w:val="none"/>
        </w:rPr>
        <w:t>第一章   重要提示</w:t>
      </w:r>
      <w:bookmarkEnd w:id="0"/>
    </w:p>
    <w:p>
      <w:pPr>
        <w:spacing w:line="520" w:lineRule="exact"/>
        <w:jc w:val="center"/>
        <w:rPr>
          <w:rFonts w:ascii="仿宋_GB2312" w:eastAsia="仿宋_GB2312"/>
          <w:sz w:val="32"/>
          <w:szCs w:val="32"/>
          <w:highlight w:val="none"/>
        </w:rPr>
      </w:pPr>
    </w:p>
    <w:p>
      <w:pPr>
        <w:spacing w:line="520" w:lineRule="exact"/>
        <w:ind w:firstLine="570"/>
        <w:rPr>
          <w:rFonts w:ascii="仿宋_GB2312" w:hAnsi="仿宋" w:eastAsia="仿宋_GB2312"/>
          <w:sz w:val="32"/>
          <w:szCs w:val="32"/>
          <w:highlight w:val="none"/>
        </w:rPr>
      </w:pPr>
      <w:r>
        <w:rPr>
          <w:rFonts w:hint="eastAsia" w:ascii="仿宋_GB2312" w:hAnsi="仿宋" w:eastAsia="仿宋_GB2312"/>
          <w:sz w:val="32"/>
          <w:szCs w:val="32"/>
          <w:highlight w:val="none"/>
        </w:rPr>
        <w:t>本社理事会、监事会及理事、监事、高级管理人员保证本报告所载资料不存在任何虚假记载、误导性陈述或者重大遗漏，并对其内容的真实性、准确性和完整性负个别及连带责任。</w:t>
      </w:r>
    </w:p>
    <w:p>
      <w:pPr>
        <w:snapToGrid w:val="0"/>
        <w:spacing w:line="520" w:lineRule="exact"/>
        <w:ind w:firstLine="555"/>
        <w:rPr>
          <w:rFonts w:ascii="仿宋_GB2312" w:hAnsi="仿宋" w:eastAsia="仿宋_GB2312"/>
          <w:sz w:val="32"/>
          <w:szCs w:val="32"/>
          <w:highlight w:val="none"/>
        </w:rPr>
      </w:pPr>
      <w:r>
        <w:rPr>
          <w:rFonts w:hint="eastAsia" w:ascii="仿宋_GB2312" w:hAnsi="仿宋" w:eastAsia="仿宋_GB2312"/>
          <w:sz w:val="32"/>
          <w:szCs w:val="32"/>
          <w:highlight w:val="none"/>
        </w:rPr>
        <w:t>本社于202</w:t>
      </w:r>
      <w:r>
        <w:rPr>
          <w:rFonts w:hint="eastAsia" w:ascii="仿宋_GB2312" w:hAnsi="仿宋" w:eastAsia="仿宋_GB2312"/>
          <w:sz w:val="32"/>
          <w:szCs w:val="32"/>
          <w:highlight w:val="none"/>
          <w:lang w:val="en-US" w:eastAsia="zh-CN"/>
        </w:rPr>
        <w:t>5</w:t>
      </w:r>
      <w:r>
        <w:rPr>
          <w:rFonts w:hint="eastAsia" w:ascii="仿宋_GB2312" w:hAnsi="仿宋" w:eastAsia="仿宋_GB2312"/>
          <w:sz w:val="32"/>
          <w:szCs w:val="32"/>
          <w:highlight w:val="none"/>
        </w:rPr>
        <w:t>年3月</w:t>
      </w:r>
      <w:r>
        <w:rPr>
          <w:rFonts w:hint="eastAsia" w:ascii="仿宋_GB2312" w:hAnsi="仿宋" w:eastAsia="仿宋_GB2312"/>
          <w:sz w:val="32"/>
          <w:szCs w:val="32"/>
          <w:highlight w:val="none"/>
          <w:lang w:val="en-US" w:eastAsia="zh-CN"/>
        </w:rPr>
        <w:t>21</w:t>
      </w:r>
      <w:r>
        <w:rPr>
          <w:rFonts w:hint="eastAsia" w:ascii="仿宋_GB2312" w:hAnsi="仿宋" w:eastAsia="仿宋_GB2312"/>
          <w:sz w:val="32"/>
          <w:szCs w:val="32"/>
          <w:highlight w:val="none"/>
        </w:rPr>
        <w:t>日召开第六届理事会第</w:t>
      </w:r>
      <w:r>
        <w:rPr>
          <w:rFonts w:hint="eastAsia" w:ascii="仿宋_GB2312" w:hAnsi="仿宋" w:eastAsia="仿宋_GB2312"/>
          <w:sz w:val="32"/>
          <w:szCs w:val="32"/>
          <w:highlight w:val="none"/>
          <w:lang w:eastAsia="zh-CN"/>
        </w:rPr>
        <w:t>八</w:t>
      </w:r>
      <w:r>
        <w:rPr>
          <w:rFonts w:hint="eastAsia" w:ascii="仿宋_GB2312" w:hAnsi="仿宋" w:eastAsia="仿宋_GB2312"/>
          <w:sz w:val="32"/>
          <w:szCs w:val="32"/>
          <w:highlight w:val="none"/>
        </w:rPr>
        <w:t>次会议。本次会议通知已提前10个工作日发给各位理事，会议应到会9名，实际到会9名。会议审议通过了《连城县农村信用合作联社202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年度信息披露的报告》等</w:t>
      </w:r>
      <w:r>
        <w:rPr>
          <w:rFonts w:hint="eastAsia" w:ascii="仿宋_GB2312" w:hAnsi="仿宋" w:eastAsia="仿宋_GB2312"/>
          <w:sz w:val="32"/>
          <w:szCs w:val="32"/>
          <w:highlight w:val="none"/>
          <w:lang w:val="en-US" w:eastAsia="zh-CN"/>
        </w:rPr>
        <w:t>19</w:t>
      </w:r>
      <w:r>
        <w:rPr>
          <w:rFonts w:hint="eastAsia" w:ascii="仿宋_GB2312" w:hAnsi="仿宋" w:eastAsia="仿宋_GB2312"/>
          <w:sz w:val="32"/>
          <w:szCs w:val="32"/>
          <w:highlight w:val="none"/>
        </w:rPr>
        <w:t>项议程。</w:t>
      </w:r>
    </w:p>
    <w:p>
      <w:pPr>
        <w:spacing w:line="520" w:lineRule="exact"/>
        <w:ind w:firstLine="570"/>
        <w:rPr>
          <w:rFonts w:ascii="仿宋_GB2312" w:hAnsi="仿宋" w:eastAsia="仿宋_GB2312"/>
          <w:sz w:val="32"/>
          <w:szCs w:val="32"/>
          <w:highlight w:val="none"/>
        </w:rPr>
      </w:pPr>
      <w:r>
        <w:rPr>
          <w:rFonts w:hint="eastAsia" w:ascii="仿宋_GB2312" w:hAnsi="仿宋" w:eastAsia="仿宋_GB2312"/>
          <w:sz w:val="32"/>
          <w:szCs w:val="32"/>
          <w:highlight w:val="none"/>
        </w:rPr>
        <w:t>本社202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年度编制的会计报表经福建武夷会计师事务所有限公司根据中国注册会计师独立审计准则审计，并出具了标准无保留意见的审计报告。</w:t>
      </w:r>
    </w:p>
    <w:p>
      <w:pPr>
        <w:spacing w:line="520" w:lineRule="exact"/>
        <w:ind w:firstLine="570"/>
        <w:rPr>
          <w:rFonts w:ascii="仿宋_GB2312" w:hAnsi="仿宋" w:eastAsia="仿宋_GB2312"/>
          <w:sz w:val="32"/>
          <w:szCs w:val="32"/>
          <w:highlight w:val="none"/>
        </w:rPr>
      </w:pPr>
    </w:p>
    <w:p>
      <w:pPr>
        <w:spacing w:line="520" w:lineRule="exact"/>
        <w:rPr>
          <w:rFonts w:ascii="仿宋_GB2312" w:hAnsi="仿宋" w:eastAsia="仿宋_GB2312"/>
          <w:sz w:val="32"/>
          <w:szCs w:val="32"/>
          <w:highlight w:val="none"/>
        </w:rPr>
      </w:pPr>
    </w:p>
    <w:p>
      <w:pPr>
        <w:spacing w:line="520" w:lineRule="exact"/>
        <w:ind w:right="800" w:firstLine="570"/>
        <w:jc w:val="right"/>
        <w:rPr>
          <w:rFonts w:ascii="仿宋_GB2312" w:hAnsi="仿宋" w:eastAsia="仿宋_GB2312"/>
          <w:sz w:val="32"/>
          <w:szCs w:val="32"/>
          <w:highlight w:val="none"/>
        </w:rPr>
      </w:pPr>
      <w:r>
        <w:rPr>
          <w:rFonts w:hint="eastAsia" w:ascii="仿宋_GB2312" w:hAnsi="仿宋" w:eastAsia="仿宋_GB2312"/>
          <w:sz w:val="32"/>
          <w:szCs w:val="32"/>
          <w:highlight w:val="none"/>
        </w:rPr>
        <w:t xml:space="preserve">  连城县农村信用合作联社理事会</w:t>
      </w:r>
    </w:p>
    <w:p>
      <w:pPr>
        <w:spacing w:line="520" w:lineRule="exact"/>
        <w:rPr>
          <w:rFonts w:ascii="仿宋_GB2312" w:hAnsi="仿宋" w:eastAsia="仿宋_GB2312"/>
          <w:sz w:val="32"/>
          <w:szCs w:val="32"/>
          <w:highlight w:val="none"/>
        </w:rPr>
      </w:pPr>
      <w:r>
        <w:rPr>
          <w:rFonts w:hint="eastAsia" w:ascii="仿宋_GB2312" w:hAnsi="仿宋" w:eastAsia="仿宋_GB2312"/>
          <w:sz w:val="32"/>
          <w:szCs w:val="32"/>
          <w:highlight w:val="none"/>
        </w:rPr>
        <w:t xml:space="preserve">                           202</w:t>
      </w:r>
      <w:r>
        <w:rPr>
          <w:rFonts w:hint="eastAsia" w:ascii="仿宋_GB2312" w:hAnsi="仿宋" w:eastAsia="仿宋_GB2312"/>
          <w:sz w:val="32"/>
          <w:szCs w:val="32"/>
          <w:highlight w:val="none"/>
          <w:lang w:val="en-US" w:eastAsia="zh-CN"/>
        </w:rPr>
        <w:t>5</w:t>
      </w:r>
      <w:r>
        <w:rPr>
          <w:rFonts w:hint="eastAsia" w:ascii="仿宋_GB2312" w:hAnsi="仿宋" w:eastAsia="仿宋_GB2312"/>
          <w:sz w:val="32"/>
          <w:szCs w:val="32"/>
          <w:highlight w:val="none"/>
        </w:rPr>
        <w:t>年4月</w:t>
      </w:r>
      <w:r>
        <w:rPr>
          <w:rFonts w:hint="eastAsia" w:ascii="仿宋_GB2312" w:hAnsi="仿宋" w:eastAsia="仿宋_GB2312"/>
          <w:sz w:val="32"/>
          <w:szCs w:val="32"/>
          <w:highlight w:val="none"/>
          <w:lang w:val="en-US" w:eastAsia="zh-CN"/>
        </w:rPr>
        <w:t>2</w:t>
      </w:r>
      <w:r>
        <w:rPr>
          <w:rFonts w:hint="default" w:ascii="仿宋_GB2312" w:hAnsi="仿宋" w:eastAsia="仿宋_GB2312"/>
          <w:sz w:val="32"/>
          <w:szCs w:val="32"/>
          <w:highlight w:val="none"/>
          <w:lang w:eastAsia="zh-CN"/>
        </w:rPr>
        <w:t>8</w:t>
      </w:r>
      <w:bookmarkStart w:id="11" w:name="_GoBack"/>
      <w:bookmarkEnd w:id="11"/>
      <w:r>
        <w:rPr>
          <w:rFonts w:hint="eastAsia" w:ascii="仿宋_GB2312" w:hAnsi="仿宋" w:eastAsia="仿宋_GB2312"/>
          <w:sz w:val="32"/>
          <w:szCs w:val="32"/>
          <w:highlight w:val="none"/>
        </w:rPr>
        <w:t>日</w:t>
      </w:r>
    </w:p>
    <w:p>
      <w:pPr>
        <w:spacing w:line="520" w:lineRule="exact"/>
        <w:rPr>
          <w:rFonts w:ascii="仿宋_GB2312" w:hAnsi="仿宋" w:eastAsia="仿宋_GB2312"/>
          <w:sz w:val="32"/>
          <w:szCs w:val="32"/>
          <w:highlight w:val="none"/>
        </w:rPr>
      </w:pPr>
    </w:p>
    <w:p>
      <w:pPr>
        <w:spacing w:line="520" w:lineRule="exact"/>
        <w:rPr>
          <w:rFonts w:ascii="仿宋_GB2312" w:hAnsi="仿宋" w:eastAsia="仿宋_GB2312"/>
          <w:b/>
          <w:sz w:val="32"/>
          <w:szCs w:val="32"/>
          <w:highlight w:val="none"/>
        </w:rPr>
      </w:pP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本联社理事长邹树辉、主任吴声远、财务负责人罗倩声明，保证202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年度报告中财务报告的真实、完整。</w:t>
      </w:r>
      <w:bookmarkStart w:id="1" w:name="_Toc511721814"/>
    </w:p>
    <w:p>
      <w:pPr>
        <w:spacing w:line="520" w:lineRule="exact"/>
        <w:ind w:firstLine="640" w:firstLineChars="200"/>
        <w:rPr>
          <w:rFonts w:ascii="仿宋_GB2312" w:hAnsi="仿宋" w:eastAsia="仿宋_GB2312"/>
          <w:sz w:val="32"/>
          <w:szCs w:val="32"/>
          <w:highlight w:val="none"/>
        </w:rPr>
      </w:pPr>
    </w:p>
    <w:p>
      <w:pPr>
        <w:spacing w:line="520" w:lineRule="exact"/>
        <w:jc w:val="center"/>
        <w:rPr>
          <w:rFonts w:ascii="黑体" w:hAnsi="黑体" w:eastAsia="黑体"/>
          <w:sz w:val="32"/>
          <w:szCs w:val="32"/>
          <w:highlight w:val="none"/>
        </w:rPr>
      </w:pPr>
      <w:r>
        <w:rPr>
          <w:rFonts w:hint="eastAsia" w:ascii="黑体" w:hAnsi="黑体" w:eastAsia="黑体"/>
          <w:sz w:val="32"/>
          <w:szCs w:val="32"/>
          <w:highlight w:val="none"/>
        </w:rPr>
        <w:t>第二章   释义及重要提示</w:t>
      </w:r>
      <w:bookmarkEnd w:id="1"/>
    </w:p>
    <w:p>
      <w:pPr>
        <w:spacing w:line="520" w:lineRule="exact"/>
        <w:ind w:firstLine="640" w:firstLineChars="200"/>
        <w:rPr>
          <w:rFonts w:ascii="黑体" w:hAnsi="仿宋" w:eastAsia="黑体"/>
          <w:sz w:val="32"/>
          <w:szCs w:val="32"/>
          <w:highlight w:val="none"/>
        </w:rPr>
      </w:pPr>
      <w:r>
        <w:rPr>
          <w:rFonts w:hint="eastAsia" w:ascii="黑体" w:hAnsi="仿宋" w:eastAsia="黑体"/>
          <w:sz w:val="32"/>
          <w:szCs w:val="32"/>
          <w:highlight w:val="none"/>
        </w:rPr>
        <w:t>一、释义</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在本报告中，除文义另有所批外，下列词语具有以下涵义：</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本社是指连城县农村信用合作联社</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央行是指中国人民银行</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中国银保监会是指中国银行业保险业监督管理委员会</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国家金融监管总局是指国家金融监督管理总局</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元是指人民币“元”</w:t>
      </w:r>
    </w:p>
    <w:p>
      <w:pPr>
        <w:spacing w:line="520" w:lineRule="exact"/>
        <w:ind w:firstLine="573"/>
        <w:rPr>
          <w:rFonts w:ascii="黑体" w:hAnsi="黑体" w:eastAsia="黑体"/>
          <w:sz w:val="32"/>
          <w:szCs w:val="32"/>
          <w:highlight w:val="none"/>
        </w:rPr>
      </w:pPr>
      <w:r>
        <w:rPr>
          <w:rFonts w:hint="eastAsia" w:ascii="黑体" w:hAnsi="黑体" w:eastAsia="黑体"/>
          <w:sz w:val="32"/>
          <w:szCs w:val="32"/>
          <w:highlight w:val="none"/>
        </w:rPr>
        <w:t>二、本社理事会特别提醒投资者，本联社已在本报告中详细描述面临的风险因素，敬请查阅《连城县农村信用合作联社审计报告》的内容。</w:t>
      </w:r>
      <w:bookmarkStart w:id="2" w:name="_Toc511721815"/>
    </w:p>
    <w:p>
      <w:pPr>
        <w:spacing w:line="520" w:lineRule="exact"/>
        <w:ind w:firstLine="573"/>
        <w:rPr>
          <w:rFonts w:ascii="仿宋_GB2312" w:hAnsi="仿宋" w:eastAsia="仿宋_GB2312"/>
          <w:sz w:val="32"/>
          <w:szCs w:val="32"/>
          <w:highlight w:val="none"/>
        </w:rPr>
      </w:pPr>
    </w:p>
    <w:p>
      <w:pPr>
        <w:spacing w:line="520" w:lineRule="exact"/>
        <w:jc w:val="center"/>
        <w:rPr>
          <w:rFonts w:ascii="黑体" w:hAnsi="黑体" w:eastAsia="黑体"/>
          <w:sz w:val="32"/>
          <w:szCs w:val="32"/>
          <w:highlight w:val="none"/>
        </w:rPr>
      </w:pPr>
      <w:r>
        <w:rPr>
          <w:rFonts w:hint="eastAsia" w:ascii="黑体" w:hAnsi="黑体" w:eastAsia="黑体"/>
          <w:sz w:val="32"/>
          <w:szCs w:val="32"/>
          <w:highlight w:val="none"/>
        </w:rPr>
        <w:t>第三章   基本情况简介</w:t>
      </w:r>
      <w:bookmarkEnd w:id="2"/>
    </w:p>
    <w:p>
      <w:pPr>
        <w:spacing w:line="520" w:lineRule="exact"/>
        <w:ind w:firstLine="573"/>
        <w:rPr>
          <w:rFonts w:ascii="黑体" w:hAnsi="仿宋" w:eastAsia="黑体"/>
          <w:sz w:val="32"/>
          <w:szCs w:val="32"/>
          <w:highlight w:val="none"/>
        </w:rPr>
      </w:pPr>
      <w:r>
        <w:rPr>
          <w:rFonts w:hint="eastAsia" w:ascii="黑体" w:hAnsi="仿宋" w:eastAsia="黑体"/>
          <w:sz w:val="32"/>
          <w:szCs w:val="32"/>
          <w:highlight w:val="none"/>
        </w:rPr>
        <w:t>一、基本情况</w:t>
      </w:r>
    </w:p>
    <w:p>
      <w:pPr>
        <w:spacing w:line="520" w:lineRule="exact"/>
        <w:ind w:firstLine="570"/>
        <w:rPr>
          <w:rFonts w:ascii="仿宋_GB2312" w:hAnsi="仿宋" w:eastAsia="仿宋_GB2312"/>
          <w:sz w:val="32"/>
          <w:szCs w:val="32"/>
          <w:highlight w:val="none"/>
        </w:rPr>
      </w:pPr>
      <w:r>
        <w:rPr>
          <w:rFonts w:hint="eastAsia" w:ascii="楷体_GB2312" w:hAnsi="仿宋" w:eastAsia="楷体_GB2312"/>
          <w:b/>
          <w:sz w:val="32"/>
          <w:szCs w:val="32"/>
          <w:highlight w:val="none"/>
        </w:rPr>
        <w:t>（一）法定中文名称:</w:t>
      </w:r>
      <w:r>
        <w:rPr>
          <w:rFonts w:hint="eastAsia" w:ascii="仿宋_GB2312" w:hAnsi="仿宋" w:eastAsia="仿宋_GB2312"/>
          <w:sz w:val="32"/>
          <w:szCs w:val="32"/>
          <w:highlight w:val="none"/>
        </w:rPr>
        <w:t xml:space="preserve"> 连城县农村信用合作联社；</w:t>
      </w:r>
    </w:p>
    <w:p>
      <w:pPr>
        <w:spacing w:line="520" w:lineRule="exact"/>
        <w:ind w:firstLine="570"/>
        <w:rPr>
          <w:rFonts w:ascii="仿宋_GB2312" w:hAnsi="仿宋" w:eastAsia="仿宋_GB2312"/>
          <w:sz w:val="32"/>
          <w:szCs w:val="32"/>
          <w:highlight w:val="none"/>
        </w:rPr>
      </w:pPr>
      <w:r>
        <w:rPr>
          <w:rFonts w:hint="eastAsia" w:ascii="楷体_GB2312" w:hAnsi="仿宋" w:eastAsia="楷体_GB2312"/>
          <w:b/>
          <w:sz w:val="32"/>
          <w:szCs w:val="32"/>
          <w:highlight w:val="none"/>
        </w:rPr>
        <w:t>（二）法定代表人:</w:t>
      </w:r>
      <w:r>
        <w:rPr>
          <w:rFonts w:hint="eastAsia" w:ascii="仿宋_GB2312" w:hAnsi="仿宋" w:eastAsia="仿宋_GB2312"/>
          <w:sz w:val="32"/>
          <w:szCs w:val="32"/>
          <w:highlight w:val="none"/>
        </w:rPr>
        <w:t>邹树辉</w:t>
      </w:r>
    </w:p>
    <w:p>
      <w:pPr>
        <w:spacing w:line="520" w:lineRule="exact"/>
        <w:ind w:firstLine="570"/>
        <w:rPr>
          <w:rFonts w:ascii="仿宋_GB2312" w:hAnsi="仿宋" w:eastAsia="仿宋_GB2312"/>
          <w:sz w:val="32"/>
          <w:szCs w:val="32"/>
          <w:highlight w:val="none"/>
        </w:rPr>
      </w:pPr>
      <w:r>
        <w:rPr>
          <w:rFonts w:hint="eastAsia" w:ascii="楷体_GB2312" w:hAnsi="仿宋" w:eastAsia="楷体_GB2312"/>
          <w:b/>
          <w:sz w:val="32"/>
          <w:szCs w:val="32"/>
          <w:highlight w:val="none"/>
        </w:rPr>
        <w:t xml:space="preserve">（三）成立时间: </w:t>
      </w:r>
      <w:r>
        <w:rPr>
          <w:rFonts w:hint="eastAsia" w:ascii="仿宋_GB2312" w:hAnsi="仿宋" w:eastAsia="仿宋_GB2312"/>
          <w:sz w:val="32"/>
          <w:szCs w:val="32"/>
          <w:highlight w:val="none"/>
        </w:rPr>
        <w:t>2006年9月28日；</w:t>
      </w:r>
    </w:p>
    <w:p>
      <w:pPr>
        <w:spacing w:line="520" w:lineRule="exact"/>
        <w:ind w:firstLine="570"/>
        <w:rPr>
          <w:rFonts w:ascii="仿宋_GB2312" w:hAnsi="仿宋" w:eastAsia="仿宋_GB2312"/>
          <w:sz w:val="32"/>
          <w:szCs w:val="32"/>
          <w:highlight w:val="none"/>
        </w:rPr>
      </w:pPr>
      <w:r>
        <w:rPr>
          <w:rFonts w:hint="eastAsia" w:ascii="楷体_GB2312" w:hAnsi="仿宋" w:eastAsia="楷体_GB2312"/>
          <w:b/>
          <w:sz w:val="32"/>
          <w:szCs w:val="32"/>
          <w:highlight w:val="none"/>
        </w:rPr>
        <w:t>（四）经济性质:</w:t>
      </w:r>
      <w:r>
        <w:rPr>
          <w:rFonts w:hint="eastAsia" w:ascii="仿宋_GB2312" w:hAnsi="仿宋" w:eastAsia="仿宋_GB2312"/>
          <w:sz w:val="32"/>
          <w:szCs w:val="32"/>
          <w:highlight w:val="none"/>
        </w:rPr>
        <w:t>股份合作制；</w:t>
      </w:r>
    </w:p>
    <w:p>
      <w:pPr>
        <w:spacing w:line="520" w:lineRule="exact"/>
        <w:ind w:firstLine="570"/>
        <w:rPr>
          <w:rFonts w:ascii="仿宋_GB2312" w:hAnsi="仿宋" w:eastAsia="仿宋_GB2312"/>
          <w:sz w:val="32"/>
          <w:szCs w:val="32"/>
          <w:highlight w:val="none"/>
        </w:rPr>
      </w:pPr>
      <w:r>
        <w:rPr>
          <w:rFonts w:hint="eastAsia" w:ascii="楷体_GB2312" w:hAnsi="仿宋" w:eastAsia="楷体_GB2312"/>
          <w:b/>
          <w:sz w:val="32"/>
          <w:szCs w:val="32"/>
          <w:highlight w:val="none"/>
        </w:rPr>
        <w:t>（五）统一社会信用代码:</w:t>
      </w:r>
      <w:r>
        <w:rPr>
          <w:rFonts w:hint="eastAsia" w:ascii="仿宋_GB2312" w:hAnsi="仿宋" w:eastAsia="仿宋_GB2312"/>
          <w:sz w:val="32"/>
          <w:szCs w:val="32"/>
          <w:highlight w:val="none"/>
        </w:rPr>
        <w:t xml:space="preserve"> 913508257053291561</w:t>
      </w:r>
    </w:p>
    <w:p>
      <w:pPr>
        <w:spacing w:line="520" w:lineRule="exact"/>
        <w:ind w:left="1596" w:leftChars="760"/>
        <w:rPr>
          <w:rFonts w:ascii="仿宋_GB2312" w:hAnsi="仿宋" w:eastAsia="仿宋_GB2312"/>
          <w:sz w:val="32"/>
          <w:szCs w:val="32"/>
          <w:highlight w:val="none"/>
        </w:rPr>
      </w:pPr>
      <w:r>
        <w:rPr>
          <w:rFonts w:hint="eastAsia" w:ascii="仿宋_GB2312" w:hAnsi="仿宋" w:eastAsia="仿宋_GB2312"/>
          <w:sz w:val="32"/>
          <w:szCs w:val="32"/>
          <w:highlight w:val="none"/>
        </w:rPr>
        <w:t>注册地址:</w:t>
      </w:r>
      <w:r>
        <w:rPr>
          <w:rFonts w:hint="eastAsia" w:ascii="仿宋_GB2312" w:eastAsia="仿宋_GB2312"/>
          <w:sz w:val="32"/>
          <w:szCs w:val="32"/>
          <w:highlight w:val="none"/>
        </w:rPr>
        <w:t xml:space="preserve"> 连城县莲峰镇北大东路64号（百花金城小区1号楼）</w:t>
      </w:r>
    </w:p>
    <w:p>
      <w:pPr>
        <w:spacing w:line="520" w:lineRule="exact"/>
        <w:ind w:firstLine="570"/>
        <w:rPr>
          <w:rFonts w:ascii="仿宋_GB2312" w:hAnsi="仿宋" w:eastAsia="仿宋_GB2312"/>
          <w:sz w:val="32"/>
          <w:szCs w:val="32"/>
          <w:highlight w:val="none"/>
        </w:rPr>
      </w:pPr>
      <w:r>
        <w:rPr>
          <w:rFonts w:hint="eastAsia" w:ascii="楷体_GB2312" w:hAnsi="仿宋" w:eastAsia="楷体_GB2312"/>
          <w:b/>
          <w:sz w:val="32"/>
          <w:szCs w:val="32"/>
          <w:highlight w:val="none"/>
        </w:rPr>
        <w:t xml:space="preserve">（六）联系方式: </w:t>
      </w:r>
      <w:r>
        <w:rPr>
          <w:rFonts w:hint="eastAsia" w:ascii="仿宋_GB2312" w:hAnsi="仿宋" w:eastAsia="仿宋_GB2312"/>
          <w:sz w:val="32"/>
          <w:szCs w:val="32"/>
          <w:highlight w:val="none"/>
        </w:rPr>
        <w:t>电话:0597—8915928</w:t>
      </w:r>
    </w:p>
    <w:p>
      <w:pPr>
        <w:spacing w:line="520" w:lineRule="exact"/>
        <w:ind w:firstLine="3129" w:firstLineChars="978"/>
        <w:rPr>
          <w:rFonts w:ascii="仿宋_GB2312" w:hAnsi="仿宋" w:eastAsia="仿宋_GB2312"/>
          <w:sz w:val="32"/>
          <w:szCs w:val="32"/>
          <w:highlight w:val="none"/>
        </w:rPr>
      </w:pPr>
      <w:r>
        <w:rPr>
          <w:rFonts w:hint="eastAsia" w:ascii="仿宋_GB2312" w:hAnsi="仿宋" w:eastAsia="仿宋_GB2312"/>
          <w:sz w:val="32"/>
          <w:szCs w:val="32"/>
          <w:highlight w:val="none"/>
        </w:rPr>
        <w:t>传真:0597—8923750</w:t>
      </w:r>
    </w:p>
    <w:p>
      <w:pPr>
        <w:spacing w:line="520" w:lineRule="exact"/>
        <w:ind w:firstLine="2969" w:firstLineChars="928"/>
        <w:rPr>
          <w:rFonts w:ascii="仿宋_GB2312" w:hAnsi="仿宋" w:eastAsia="仿宋_GB2312"/>
          <w:sz w:val="32"/>
          <w:szCs w:val="32"/>
          <w:highlight w:val="none"/>
        </w:rPr>
      </w:pPr>
      <w:r>
        <w:rPr>
          <w:rFonts w:hint="eastAsia" w:ascii="仿宋_GB2312" w:hAnsi="仿宋" w:eastAsia="仿宋_GB2312"/>
          <w:sz w:val="32"/>
          <w:szCs w:val="32"/>
          <w:highlight w:val="none"/>
        </w:rPr>
        <w:t xml:space="preserve"> 邮编:366200</w:t>
      </w:r>
    </w:p>
    <w:p>
      <w:pPr>
        <w:spacing w:line="520" w:lineRule="exact"/>
        <w:ind w:firstLine="642" w:firstLineChars="200"/>
        <w:rPr>
          <w:rFonts w:ascii="仿宋_GB2312" w:eastAsia="仿宋_GB2312"/>
          <w:sz w:val="32"/>
          <w:szCs w:val="32"/>
          <w:highlight w:val="none"/>
        </w:rPr>
      </w:pPr>
      <w:r>
        <w:rPr>
          <w:rFonts w:hint="eastAsia" w:ascii="楷体_GB2312" w:hAnsi="仿宋" w:eastAsia="楷体_GB2312"/>
          <w:b/>
          <w:sz w:val="32"/>
          <w:szCs w:val="32"/>
          <w:highlight w:val="none"/>
        </w:rPr>
        <w:t>（七）业务范围：</w:t>
      </w:r>
      <w:r>
        <w:rPr>
          <w:rFonts w:hint="eastAsia" w:ascii="仿宋_GB2312" w:eastAsia="仿宋_GB2312"/>
          <w:sz w:val="32"/>
          <w:szCs w:val="32"/>
          <w:highlight w:val="none"/>
        </w:rPr>
        <w:t>吸收公众存款；发放短期、中期和长期贷款；办理国内结算；代理兑付政府债券；从事同业拆借；代理收付款项;经中国银行业监督管理委员会批准的其他业务。</w:t>
      </w:r>
    </w:p>
    <w:p>
      <w:pPr>
        <w:spacing w:line="520" w:lineRule="exact"/>
        <w:ind w:firstLine="570"/>
        <w:rPr>
          <w:rFonts w:ascii="仿宋_GB2312" w:hAnsi="仿宋" w:eastAsia="仿宋_GB2312"/>
          <w:sz w:val="32"/>
          <w:szCs w:val="32"/>
          <w:highlight w:val="none"/>
        </w:rPr>
      </w:pPr>
      <w:bookmarkStart w:id="3" w:name="_Toc511721816"/>
      <w:r>
        <w:rPr>
          <w:rFonts w:hint="eastAsia" w:ascii="楷体_GB2312" w:hAnsi="仿宋" w:eastAsia="楷体_GB2312"/>
          <w:b/>
          <w:sz w:val="32"/>
          <w:szCs w:val="32"/>
          <w:highlight w:val="none"/>
        </w:rPr>
        <w:t>（八）聘请的会计师事务所:</w:t>
      </w:r>
      <w:r>
        <w:rPr>
          <w:rFonts w:hint="eastAsia" w:ascii="仿宋_GB2312" w:hAnsi="仿宋" w:eastAsia="仿宋_GB2312"/>
          <w:sz w:val="32"/>
          <w:szCs w:val="32"/>
          <w:highlight w:val="none"/>
        </w:rPr>
        <w:t>福建武夷会计师事务所有限公司</w:t>
      </w:r>
    </w:p>
    <w:p>
      <w:pPr>
        <w:spacing w:line="520" w:lineRule="exact"/>
        <w:ind w:firstLine="642" w:firstLineChars="200"/>
        <w:rPr>
          <w:rFonts w:ascii="仿宋_GB2312" w:hAnsi="仿宋" w:eastAsia="仿宋_GB2312"/>
          <w:sz w:val="32"/>
          <w:szCs w:val="32"/>
          <w:highlight w:val="none"/>
        </w:rPr>
      </w:pPr>
      <w:r>
        <w:rPr>
          <w:rFonts w:hint="eastAsia" w:ascii="仿宋_GB2312" w:hAnsi="仿宋" w:eastAsia="仿宋_GB2312"/>
          <w:b/>
          <w:sz w:val="32"/>
          <w:szCs w:val="32"/>
          <w:highlight w:val="none"/>
        </w:rPr>
        <w:t>办公地址：</w:t>
      </w:r>
      <w:r>
        <w:rPr>
          <w:rFonts w:hint="eastAsia" w:ascii="仿宋_GB2312" w:hAnsi="Arial" w:eastAsia="仿宋_GB2312"/>
          <w:sz w:val="32"/>
          <w:szCs w:val="32"/>
          <w:highlight w:val="none"/>
          <w:shd w:val="clear" w:color="auto" w:fill="FFFFFF"/>
        </w:rPr>
        <w:t>福州市六一北路92号实发大厦十层</w:t>
      </w:r>
    </w:p>
    <w:p>
      <w:pPr>
        <w:spacing w:line="520" w:lineRule="exact"/>
        <w:ind w:firstLine="642" w:firstLineChars="200"/>
        <w:rPr>
          <w:rFonts w:ascii="仿宋_GB2312" w:hAnsi="仿宋" w:eastAsia="仿宋_GB2312"/>
          <w:sz w:val="32"/>
          <w:szCs w:val="32"/>
          <w:highlight w:val="none"/>
        </w:rPr>
      </w:pPr>
      <w:r>
        <w:rPr>
          <w:rFonts w:hint="eastAsia" w:ascii="仿宋_GB2312" w:hAnsi="仿宋" w:eastAsia="仿宋_GB2312"/>
          <w:b/>
          <w:sz w:val="32"/>
          <w:szCs w:val="32"/>
          <w:highlight w:val="none"/>
        </w:rPr>
        <w:t>电话：</w:t>
      </w:r>
      <w:r>
        <w:rPr>
          <w:rFonts w:hint="eastAsia" w:ascii="仿宋_GB2312" w:hAnsi="仿宋" w:eastAsia="仿宋_GB2312"/>
          <w:sz w:val="32"/>
          <w:szCs w:val="32"/>
          <w:highlight w:val="none"/>
        </w:rPr>
        <w:t>0591-87671670</w:t>
      </w:r>
    </w:p>
    <w:bookmarkEnd w:id="3"/>
    <w:p>
      <w:pPr>
        <w:spacing w:line="520" w:lineRule="exact"/>
        <w:jc w:val="center"/>
        <w:rPr>
          <w:rFonts w:ascii="黑体" w:hAnsi="黑体" w:eastAsia="黑体"/>
          <w:sz w:val="32"/>
          <w:szCs w:val="32"/>
          <w:highlight w:val="none"/>
        </w:rPr>
      </w:pPr>
    </w:p>
    <w:p>
      <w:pPr>
        <w:spacing w:line="520" w:lineRule="exact"/>
        <w:jc w:val="center"/>
        <w:rPr>
          <w:rFonts w:ascii="黑体" w:hAnsi="黑体" w:eastAsia="黑体"/>
          <w:sz w:val="32"/>
          <w:szCs w:val="32"/>
          <w:highlight w:val="none"/>
        </w:rPr>
      </w:pPr>
      <w:r>
        <w:rPr>
          <w:rFonts w:hint="eastAsia" w:ascii="黑体" w:hAnsi="黑体" w:eastAsia="黑体"/>
          <w:sz w:val="32"/>
          <w:szCs w:val="32"/>
          <w:highlight w:val="none"/>
        </w:rPr>
        <w:t>本报告以中文编制</w:t>
      </w:r>
    </w:p>
    <w:p>
      <w:pPr>
        <w:spacing w:line="520" w:lineRule="exact"/>
        <w:jc w:val="center"/>
        <w:rPr>
          <w:rFonts w:ascii="黑体" w:hAnsi="黑体" w:eastAsia="黑体"/>
          <w:sz w:val="32"/>
          <w:szCs w:val="32"/>
          <w:highlight w:val="none"/>
        </w:rPr>
      </w:pPr>
    </w:p>
    <w:p>
      <w:pPr>
        <w:spacing w:line="520" w:lineRule="exact"/>
        <w:ind w:firstLine="573"/>
        <w:jc w:val="center"/>
        <w:rPr>
          <w:rFonts w:ascii="黑体" w:hAnsi="仿宋" w:eastAsia="黑体"/>
          <w:sz w:val="32"/>
          <w:szCs w:val="32"/>
          <w:highlight w:val="none"/>
        </w:rPr>
      </w:pPr>
      <w:r>
        <w:rPr>
          <w:rFonts w:hint="eastAsia" w:ascii="黑体" w:hAnsi="仿宋" w:eastAsia="黑体"/>
          <w:sz w:val="32"/>
          <w:szCs w:val="32"/>
          <w:highlight w:val="none"/>
        </w:rPr>
        <w:t>第四章   会计数据和财务指标摘要</w:t>
      </w:r>
    </w:p>
    <w:p>
      <w:pPr>
        <w:spacing w:line="520" w:lineRule="exact"/>
        <w:rPr>
          <w:rFonts w:ascii="黑体" w:hAnsi="仿宋" w:eastAsia="黑体"/>
          <w:sz w:val="32"/>
          <w:szCs w:val="32"/>
          <w:highlight w:val="none"/>
        </w:rPr>
      </w:pPr>
      <w:r>
        <w:rPr>
          <w:rFonts w:hint="eastAsia" w:ascii="黑体" w:hAnsi="仿宋" w:eastAsia="黑体"/>
          <w:sz w:val="32"/>
          <w:szCs w:val="32"/>
          <w:highlight w:val="none"/>
        </w:rPr>
        <w:t xml:space="preserve">一、本报告期前三年的主要会计数据和财务指标 </w:t>
      </w:r>
    </w:p>
    <w:p>
      <w:pPr>
        <w:spacing w:line="520" w:lineRule="exact"/>
        <w:ind w:left="570"/>
        <w:jc w:val="right"/>
        <w:rPr>
          <w:rFonts w:ascii="仿宋_GB2312" w:hAnsi="仿宋" w:eastAsia="仿宋_GB2312"/>
          <w:sz w:val="32"/>
          <w:szCs w:val="32"/>
          <w:highlight w:val="none"/>
        </w:rPr>
      </w:pPr>
      <w:r>
        <w:rPr>
          <w:rFonts w:hint="eastAsia" w:ascii="仿宋_GB2312" w:hAnsi="仿宋" w:eastAsia="仿宋_GB2312"/>
          <w:sz w:val="32"/>
          <w:szCs w:val="32"/>
          <w:highlight w:val="none"/>
        </w:rPr>
        <w:t xml:space="preserve">  （金额单位：人民币万元）</w:t>
      </w:r>
    </w:p>
    <w:tbl>
      <w:tblPr>
        <w:tblStyle w:val="4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1330"/>
        <w:gridCol w:w="1560"/>
        <w:gridCol w:w="1842"/>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项  目</w:t>
            </w:r>
          </w:p>
        </w:tc>
        <w:tc>
          <w:tcPr>
            <w:tcW w:w="133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4</w:t>
            </w:r>
            <w:r>
              <w:rPr>
                <w:rFonts w:hint="eastAsia" w:ascii="仿宋_GB2312" w:hAnsi="仿宋" w:eastAsia="仿宋_GB2312"/>
                <w:b/>
                <w:sz w:val="24"/>
                <w:highlight w:val="none"/>
              </w:rPr>
              <w:t>年度</w:t>
            </w:r>
          </w:p>
        </w:tc>
        <w:tc>
          <w:tcPr>
            <w:tcW w:w="156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3</w:t>
            </w:r>
            <w:r>
              <w:rPr>
                <w:rFonts w:hint="eastAsia" w:ascii="仿宋_GB2312" w:hAnsi="仿宋" w:eastAsia="仿宋_GB2312"/>
                <w:b/>
                <w:sz w:val="24"/>
                <w:highlight w:val="none"/>
              </w:rPr>
              <w:t>年度</w:t>
            </w:r>
          </w:p>
        </w:tc>
        <w:tc>
          <w:tcPr>
            <w:tcW w:w="1842"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本年度比上年增减(%)</w:t>
            </w:r>
          </w:p>
        </w:tc>
        <w:tc>
          <w:tcPr>
            <w:tcW w:w="1656"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2</w:t>
            </w:r>
            <w:r>
              <w:rPr>
                <w:rFonts w:hint="eastAsia" w:ascii="仿宋_GB2312" w:hAnsi="仿宋" w:eastAsia="仿宋_GB2312"/>
                <w:b/>
                <w:sz w:val="24"/>
                <w:highlight w:val="none"/>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gridSpan w:val="5"/>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经营业绩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营业收入</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43637</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44550</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-2.05</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40233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营业利润</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color w:val="auto"/>
                <w:sz w:val="24"/>
                <w:highlight w:val="none"/>
                <w:lang w:val="en-US" w:eastAsia="zh-CN"/>
              </w:rPr>
              <w:t>18384</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20789</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color w:val="auto"/>
                <w:sz w:val="24"/>
                <w:highlight w:val="none"/>
                <w:lang w:val="en-US" w:eastAsia="zh-CN"/>
              </w:rPr>
              <w:t>-11.57</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18755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利润总额</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8160</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9389</w:t>
            </w:r>
          </w:p>
        </w:tc>
        <w:tc>
          <w:tcPr>
            <w:tcW w:w="1842" w:type="dxa"/>
            <w:vAlign w:val="top"/>
          </w:tcPr>
          <w:p>
            <w:pPr>
              <w:spacing w:line="520" w:lineRule="exact"/>
              <w:jc w:val="center"/>
              <w:rPr>
                <w:rFonts w:hint="default" w:ascii="仿宋_GB2312" w:hAnsi="仿宋" w:eastAsia="仿宋_GB2312"/>
                <w:sz w:val="24"/>
                <w:highlight w:val="none"/>
                <w:lang w:val="en-US"/>
              </w:rPr>
            </w:pPr>
            <w:r>
              <w:rPr>
                <w:rFonts w:hint="eastAsia" w:ascii="仿宋_GB2312" w:hAnsi="仿宋" w:eastAsia="仿宋_GB2312"/>
                <w:sz w:val="24"/>
                <w:highlight w:val="none"/>
              </w:rPr>
              <w:t>-</w:t>
            </w:r>
            <w:r>
              <w:rPr>
                <w:rFonts w:hint="eastAsia" w:ascii="仿宋_GB2312" w:hAnsi="仿宋" w:eastAsia="仿宋_GB2312"/>
                <w:sz w:val="24"/>
                <w:highlight w:val="none"/>
                <w:lang w:val="en-US" w:eastAsia="zh-CN"/>
              </w:rPr>
              <w:t>13.09</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13865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净利润</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5695</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6814</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w:t>
            </w:r>
            <w:r>
              <w:rPr>
                <w:rFonts w:hint="eastAsia" w:ascii="仿宋_GB2312" w:hAnsi="仿宋" w:eastAsia="仿宋_GB2312"/>
                <w:sz w:val="24"/>
                <w:highlight w:val="none"/>
                <w:lang w:val="en-US" w:eastAsia="zh-CN"/>
              </w:rPr>
              <w:t>16.42</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10334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gridSpan w:val="5"/>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财务比率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每股收益</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0.0000</w:t>
            </w:r>
            <w:r>
              <w:rPr>
                <w:rFonts w:hint="eastAsia" w:ascii="仿宋_GB2312" w:hAnsi="仿宋" w:eastAsia="仿宋_GB2312"/>
                <w:sz w:val="24"/>
                <w:highlight w:val="none"/>
                <w:lang w:val="en-US" w:eastAsia="zh-CN"/>
              </w:rPr>
              <w:t>19</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0.00002</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w:t>
            </w:r>
            <w:r>
              <w:rPr>
                <w:rFonts w:hint="eastAsia" w:ascii="仿宋_GB2312" w:hAnsi="仿宋" w:eastAsia="仿宋_GB2312"/>
                <w:sz w:val="24"/>
                <w:highlight w:val="none"/>
                <w:lang w:val="en-US" w:eastAsia="zh-CN"/>
              </w:rPr>
              <w:t>5</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资产利润率</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0.66</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0.87</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r>
              <w:rPr>
                <w:rFonts w:hint="eastAsia" w:ascii="仿宋_GB2312" w:hAnsi="仿宋" w:eastAsia="仿宋_GB2312"/>
                <w:sz w:val="24"/>
                <w:highlight w:val="none"/>
                <w:lang w:val="en-US" w:eastAsia="zh-CN"/>
              </w:rPr>
              <w:t>2</w:t>
            </w:r>
            <w:r>
              <w:rPr>
                <w:rFonts w:hint="eastAsia" w:ascii="仿宋_GB2312" w:hAnsi="仿宋" w:eastAsia="仿宋_GB2312"/>
                <w:sz w:val="24"/>
                <w:highlight w:val="none"/>
              </w:rPr>
              <w:t>1</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资本利润率</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6.03</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7.56</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w:t>
            </w:r>
            <w:r>
              <w:rPr>
                <w:rFonts w:hint="eastAsia" w:ascii="仿宋_GB2312" w:hAnsi="仿宋" w:eastAsia="仿宋_GB2312"/>
                <w:sz w:val="24"/>
                <w:highlight w:val="none"/>
                <w:lang w:val="en-US" w:eastAsia="zh-CN"/>
              </w:rPr>
              <w:t>1.53</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应付利息充足率</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3.8</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4.15</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-0.35</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gridSpan w:val="5"/>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规模指标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总资产</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880150</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857223</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19.50</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717317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 xml:space="preserve">  贷款和垫款总额</w:t>
            </w:r>
          </w:p>
        </w:tc>
        <w:tc>
          <w:tcPr>
            <w:tcW w:w="133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499093</w:t>
            </w:r>
          </w:p>
        </w:tc>
        <w:tc>
          <w:tcPr>
            <w:tcW w:w="156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481743</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13.58</w:t>
            </w:r>
          </w:p>
        </w:tc>
        <w:tc>
          <w:tcPr>
            <w:tcW w:w="1656"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424133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 xml:space="preserve">  -正常贷款</w:t>
            </w:r>
          </w:p>
        </w:tc>
        <w:tc>
          <w:tcPr>
            <w:tcW w:w="133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color w:val="auto"/>
                <w:sz w:val="24"/>
                <w:highlight w:val="none"/>
                <w:lang w:val="en-US" w:eastAsia="zh-CN"/>
              </w:rPr>
              <w:t>490787</w:t>
            </w:r>
          </w:p>
        </w:tc>
        <w:tc>
          <w:tcPr>
            <w:tcW w:w="156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color w:val="auto"/>
                <w:sz w:val="24"/>
                <w:highlight w:val="none"/>
              </w:rPr>
              <w:t>472141</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hint="default" w:ascii="仿宋_GB2312" w:hAnsi="仿宋" w:eastAsia="仿宋_GB2312"/>
                <w:sz w:val="24"/>
                <w:highlight w:val="none"/>
                <w:lang w:val="en-US" w:eastAsia="zh-CN"/>
              </w:rPr>
            </w:pPr>
            <w:r>
              <w:rPr>
                <w:rFonts w:hint="eastAsia" w:ascii="仿宋_GB2312" w:hAnsi="仿宋" w:eastAsia="仿宋_GB2312"/>
                <w:color w:val="auto"/>
                <w:sz w:val="24"/>
                <w:highlight w:val="none"/>
                <w:lang w:val="en-US" w:eastAsia="zh-CN"/>
              </w:rPr>
              <w:t>3.95</w:t>
            </w:r>
          </w:p>
        </w:tc>
        <w:tc>
          <w:tcPr>
            <w:tcW w:w="1656"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419124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 xml:space="preserve">  -不良贷款</w:t>
            </w:r>
          </w:p>
        </w:tc>
        <w:tc>
          <w:tcPr>
            <w:tcW w:w="133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hint="eastAsia" w:ascii="仿宋_GB2312" w:hAnsi="仿宋" w:eastAsia="仿宋_GB2312"/>
                <w:sz w:val="24"/>
                <w:highlight w:val="none"/>
                <w:lang w:eastAsia="zh-CN"/>
              </w:rPr>
            </w:pPr>
            <w:r>
              <w:rPr>
                <w:rFonts w:hint="eastAsia" w:ascii="仿宋_GB2312" w:hAnsi="仿宋" w:eastAsia="仿宋_GB2312"/>
                <w:color w:val="auto"/>
                <w:sz w:val="24"/>
                <w:highlight w:val="none"/>
                <w:lang w:val="en-US" w:eastAsia="zh-CN"/>
              </w:rPr>
              <w:t>8306</w:t>
            </w:r>
          </w:p>
        </w:tc>
        <w:tc>
          <w:tcPr>
            <w:tcW w:w="156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9602</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hint="default" w:ascii="仿宋_GB2312" w:hAnsi="仿宋" w:eastAsia="仿宋_GB2312"/>
                <w:sz w:val="24"/>
                <w:highlight w:val="none"/>
                <w:lang w:val="en-US" w:eastAsia="zh-CN"/>
              </w:rPr>
            </w:pPr>
            <w:r>
              <w:rPr>
                <w:rFonts w:hint="eastAsia" w:ascii="仿宋_GB2312" w:hAnsi="仿宋" w:eastAsia="仿宋_GB2312"/>
                <w:color w:val="auto"/>
                <w:sz w:val="24"/>
                <w:highlight w:val="none"/>
                <w:lang w:val="en-US" w:eastAsia="zh-CN"/>
              </w:rPr>
              <w:t>-13.50</w:t>
            </w:r>
          </w:p>
        </w:tc>
        <w:tc>
          <w:tcPr>
            <w:tcW w:w="1656"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5009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 xml:space="preserve">  贷款减值准备</w:t>
            </w:r>
          </w:p>
        </w:tc>
        <w:tc>
          <w:tcPr>
            <w:tcW w:w="133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34749</w:t>
            </w:r>
          </w:p>
        </w:tc>
        <w:tc>
          <w:tcPr>
            <w:tcW w:w="156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31974</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8.68</w:t>
            </w:r>
          </w:p>
        </w:tc>
        <w:tc>
          <w:tcPr>
            <w:tcW w:w="1656"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24958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总负债</w:t>
            </w:r>
          </w:p>
        </w:tc>
        <w:tc>
          <w:tcPr>
            <w:tcW w:w="133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782621</w:t>
            </w:r>
          </w:p>
        </w:tc>
        <w:tc>
          <w:tcPr>
            <w:tcW w:w="156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765741</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2.20</w:t>
            </w:r>
          </w:p>
        </w:tc>
        <w:tc>
          <w:tcPr>
            <w:tcW w:w="1656"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628609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 xml:space="preserve">  客户存款总额</w:t>
            </w:r>
          </w:p>
        </w:tc>
        <w:tc>
          <w:tcPr>
            <w:tcW w:w="133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649713</w:t>
            </w:r>
          </w:p>
        </w:tc>
        <w:tc>
          <w:tcPr>
            <w:tcW w:w="156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622357</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4.40</w:t>
            </w:r>
          </w:p>
        </w:tc>
        <w:tc>
          <w:tcPr>
            <w:tcW w:w="1656"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569265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 xml:space="preserve">  -单位存款</w:t>
            </w:r>
          </w:p>
        </w:tc>
        <w:tc>
          <w:tcPr>
            <w:tcW w:w="133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82023</w:t>
            </w:r>
          </w:p>
        </w:tc>
        <w:tc>
          <w:tcPr>
            <w:tcW w:w="15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106497</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w:t>
            </w:r>
            <w:r>
              <w:rPr>
                <w:rFonts w:hint="eastAsia" w:ascii="仿宋_GB2312" w:hAnsi="仿宋" w:eastAsia="仿宋_GB2312"/>
                <w:sz w:val="24"/>
                <w:highlight w:val="none"/>
                <w:lang w:val="en-US" w:eastAsia="zh-CN"/>
              </w:rPr>
              <w:t>22.98</w:t>
            </w:r>
          </w:p>
        </w:tc>
        <w:tc>
          <w:tcPr>
            <w:tcW w:w="165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120396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 xml:space="preserve">  -个人存款</w:t>
            </w:r>
          </w:p>
        </w:tc>
        <w:tc>
          <w:tcPr>
            <w:tcW w:w="133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567689</w:t>
            </w:r>
          </w:p>
        </w:tc>
        <w:tc>
          <w:tcPr>
            <w:tcW w:w="15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515860</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10.05</w:t>
            </w:r>
          </w:p>
        </w:tc>
        <w:tc>
          <w:tcPr>
            <w:tcW w:w="165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448869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所有者权益</w:t>
            </w:r>
          </w:p>
        </w:tc>
        <w:tc>
          <w:tcPr>
            <w:tcW w:w="133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97529</w:t>
            </w:r>
          </w:p>
        </w:tc>
        <w:tc>
          <w:tcPr>
            <w:tcW w:w="1560"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91482</w:t>
            </w:r>
          </w:p>
        </w:tc>
        <w:tc>
          <w:tcPr>
            <w:tcW w:w="1842"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61.61</w:t>
            </w:r>
          </w:p>
        </w:tc>
        <w:tc>
          <w:tcPr>
            <w:tcW w:w="1656"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88708</w:t>
            </w:r>
          </w:p>
        </w:tc>
      </w:tr>
    </w:tbl>
    <w:p>
      <w:pPr>
        <w:spacing w:line="520" w:lineRule="exact"/>
        <w:ind w:firstLine="480" w:firstLineChars="150"/>
        <w:rPr>
          <w:rFonts w:ascii="仿宋_GB2312" w:hAnsi="仿宋" w:eastAsia="仿宋_GB2312"/>
          <w:sz w:val="32"/>
          <w:szCs w:val="32"/>
          <w:highlight w:val="none"/>
        </w:rPr>
      </w:pPr>
      <w:r>
        <w:rPr>
          <w:rFonts w:hint="eastAsia" w:ascii="仿宋_GB2312" w:hAnsi="仿宋" w:eastAsia="仿宋_GB2312"/>
          <w:sz w:val="32"/>
          <w:szCs w:val="32"/>
          <w:highlight w:val="none"/>
        </w:rPr>
        <w:t>注：以上数据均为本行社口径，根据国家金融监管总局监管口径计算。</w:t>
      </w:r>
    </w:p>
    <w:p>
      <w:pPr>
        <w:spacing w:line="520" w:lineRule="exact"/>
        <w:ind w:left="570"/>
        <w:rPr>
          <w:rFonts w:ascii="黑体" w:hAnsi="仿宋" w:eastAsia="黑体"/>
          <w:sz w:val="32"/>
          <w:szCs w:val="32"/>
          <w:highlight w:val="none"/>
        </w:rPr>
      </w:pPr>
      <w:r>
        <w:rPr>
          <w:rFonts w:hint="eastAsia" w:ascii="黑体" w:hAnsi="仿宋" w:eastAsia="黑体"/>
          <w:sz w:val="32"/>
          <w:szCs w:val="32"/>
          <w:highlight w:val="none"/>
        </w:rPr>
        <w:t xml:space="preserve">二、本报告期补充财务比率 </w:t>
      </w:r>
    </w:p>
    <w:tbl>
      <w:tblPr>
        <w:tblStyle w:val="4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1330"/>
        <w:gridCol w:w="1560"/>
        <w:gridCol w:w="1842"/>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项  目</w:t>
            </w:r>
          </w:p>
        </w:tc>
        <w:tc>
          <w:tcPr>
            <w:tcW w:w="133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4</w:t>
            </w:r>
            <w:r>
              <w:rPr>
                <w:rFonts w:hint="eastAsia" w:ascii="仿宋_GB2312" w:hAnsi="仿宋" w:eastAsia="仿宋_GB2312"/>
                <w:b/>
                <w:sz w:val="24"/>
                <w:highlight w:val="none"/>
              </w:rPr>
              <w:t>年度</w:t>
            </w:r>
          </w:p>
        </w:tc>
        <w:tc>
          <w:tcPr>
            <w:tcW w:w="156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3</w:t>
            </w:r>
            <w:r>
              <w:rPr>
                <w:rFonts w:hint="eastAsia" w:ascii="仿宋_GB2312" w:hAnsi="仿宋" w:eastAsia="仿宋_GB2312"/>
                <w:b/>
                <w:sz w:val="24"/>
                <w:highlight w:val="none"/>
              </w:rPr>
              <w:t>年度</w:t>
            </w:r>
          </w:p>
        </w:tc>
        <w:tc>
          <w:tcPr>
            <w:tcW w:w="1842"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本年度比上年增减(%)</w:t>
            </w:r>
          </w:p>
        </w:tc>
        <w:tc>
          <w:tcPr>
            <w:tcW w:w="1656"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2</w:t>
            </w:r>
            <w:r>
              <w:rPr>
                <w:rFonts w:hint="eastAsia" w:ascii="仿宋_GB2312" w:hAnsi="仿宋" w:eastAsia="仿宋_GB2312"/>
                <w:b/>
                <w:sz w:val="24"/>
                <w:highlight w:val="none"/>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gridSpan w:val="5"/>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盈利能力指标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净利差</w:t>
            </w:r>
          </w:p>
        </w:tc>
        <w:tc>
          <w:tcPr>
            <w:tcW w:w="1330" w:type="dxa"/>
            <w:vAlign w:val="top"/>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2.88</w:t>
            </w:r>
          </w:p>
        </w:tc>
        <w:tc>
          <w:tcPr>
            <w:tcW w:w="1560" w:type="dxa"/>
            <w:vAlign w:val="top"/>
          </w:tcPr>
          <w:p>
            <w:pPr>
              <w:spacing w:line="520" w:lineRule="exact"/>
              <w:jc w:val="center"/>
              <w:rPr>
                <w:rFonts w:ascii="仿宋_GB2312" w:hAnsi="仿宋" w:eastAsia="仿宋_GB2312"/>
                <w:color w:val="000000" w:themeColor="text1"/>
                <w:sz w:val="24"/>
                <w:highlight w:val="none"/>
              </w:rPr>
            </w:pPr>
            <w:r>
              <w:rPr>
                <w:rFonts w:hint="eastAsia" w:ascii="仿宋_GB2312" w:hAnsi="仿宋" w:eastAsia="仿宋_GB2312"/>
                <w:color w:val="000000" w:themeColor="text1"/>
                <w:sz w:val="24"/>
                <w:highlight w:val="none"/>
              </w:rPr>
              <w:t>3.5</w:t>
            </w:r>
          </w:p>
        </w:tc>
        <w:tc>
          <w:tcPr>
            <w:tcW w:w="1842" w:type="dxa"/>
            <w:vAlign w:val="top"/>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-0.62</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color w:val="000000" w:themeColor="text1"/>
                <w:sz w:val="24"/>
                <w:highlight w:val="none"/>
              </w:rPr>
              <w:t>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净利息收益率</w:t>
            </w:r>
          </w:p>
        </w:tc>
        <w:tc>
          <w:tcPr>
            <w:tcW w:w="1330" w:type="dxa"/>
            <w:vAlign w:val="top"/>
          </w:tcPr>
          <w:p>
            <w:pPr>
              <w:spacing w:line="520" w:lineRule="exact"/>
              <w:jc w:val="center"/>
              <w:rPr>
                <w:rFonts w:ascii="仿宋_GB2312" w:hAnsi="仿宋" w:eastAsia="仿宋_GB2312"/>
                <w:color w:val="000000" w:themeColor="text1"/>
                <w:sz w:val="24"/>
                <w:highlight w:val="none"/>
              </w:rPr>
            </w:pPr>
            <w:r>
              <w:rPr>
                <w:rFonts w:hint="eastAsia" w:ascii="仿宋_GB2312" w:hAnsi="仿宋" w:eastAsia="仿宋_GB2312"/>
                <w:color w:val="000000" w:themeColor="text1"/>
                <w:sz w:val="24"/>
                <w:highlight w:val="none"/>
                <w:lang w:val="en-US" w:eastAsia="zh-CN"/>
              </w:rPr>
              <w:t>3.15</w:t>
            </w:r>
          </w:p>
        </w:tc>
        <w:tc>
          <w:tcPr>
            <w:tcW w:w="1560" w:type="dxa"/>
            <w:vAlign w:val="top"/>
          </w:tcPr>
          <w:p>
            <w:pPr>
              <w:spacing w:line="520" w:lineRule="exact"/>
              <w:jc w:val="center"/>
              <w:rPr>
                <w:rFonts w:ascii="仿宋_GB2312" w:hAnsi="仿宋" w:eastAsia="仿宋_GB2312"/>
                <w:color w:val="000000" w:themeColor="text1"/>
                <w:sz w:val="24"/>
                <w:highlight w:val="none"/>
              </w:rPr>
            </w:pPr>
            <w:r>
              <w:rPr>
                <w:rFonts w:hint="eastAsia" w:ascii="仿宋_GB2312" w:hAnsi="仿宋" w:eastAsia="仿宋_GB2312"/>
                <w:color w:val="000000" w:themeColor="text1"/>
                <w:sz w:val="24"/>
                <w:highlight w:val="none"/>
              </w:rPr>
              <w:t>3.8</w:t>
            </w:r>
          </w:p>
        </w:tc>
        <w:tc>
          <w:tcPr>
            <w:tcW w:w="1842" w:type="dxa"/>
            <w:vAlign w:val="top"/>
          </w:tcPr>
          <w:p>
            <w:pPr>
              <w:spacing w:line="520" w:lineRule="exact"/>
              <w:jc w:val="center"/>
              <w:rPr>
                <w:rFonts w:ascii="仿宋_GB2312" w:hAnsi="仿宋" w:eastAsia="仿宋_GB2312"/>
                <w:color w:val="000000" w:themeColor="text1"/>
                <w:sz w:val="24"/>
                <w:highlight w:val="none"/>
              </w:rPr>
            </w:pPr>
            <w:r>
              <w:rPr>
                <w:rFonts w:hint="eastAsia" w:ascii="仿宋_GB2312" w:hAnsi="仿宋" w:eastAsia="仿宋_GB2312"/>
                <w:color w:val="000000" w:themeColor="text1"/>
                <w:sz w:val="24"/>
                <w:highlight w:val="none"/>
                <w:lang w:val="en-US" w:eastAsia="zh-CN"/>
              </w:rPr>
              <w:t>-0.65</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color w:val="000000" w:themeColor="text1"/>
                <w:sz w:val="24"/>
                <w:highlight w:val="none"/>
              </w:rPr>
              <w:t>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gridSpan w:val="5"/>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占营业收入百分比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净利息收入</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27972</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30440</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-8.11</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24472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成本收入比</w:t>
            </w:r>
          </w:p>
        </w:tc>
        <w:tc>
          <w:tcPr>
            <w:tcW w:w="1330" w:type="dxa"/>
            <w:vAlign w:val="top"/>
          </w:tcPr>
          <w:p>
            <w:pPr>
              <w:spacing w:line="520" w:lineRule="exact"/>
              <w:jc w:val="center"/>
              <w:rPr>
                <w:rFonts w:ascii="仿宋_GB2312" w:hAnsi="仿宋" w:eastAsia="仿宋_GB2312"/>
                <w:color w:val="000000" w:themeColor="text1"/>
                <w:sz w:val="24"/>
                <w:highlight w:val="none"/>
              </w:rPr>
            </w:pPr>
            <w:r>
              <w:rPr>
                <w:rFonts w:hint="eastAsia" w:ascii="仿宋_GB2312" w:hAnsi="仿宋" w:eastAsia="仿宋_GB2312"/>
                <w:color w:val="000000" w:themeColor="text1"/>
                <w:sz w:val="24"/>
                <w:highlight w:val="none"/>
                <w:lang w:val="en-US" w:eastAsia="zh-CN"/>
              </w:rPr>
              <w:t>32.44</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color w:val="000000" w:themeColor="text1"/>
                <w:sz w:val="24"/>
                <w:highlight w:val="none"/>
              </w:rPr>
              <w:t>31.86</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0.58</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34.03</w:t>
            </w:r>
          </w:p>
        </w:tc>
      </w:tr>
    </w:tbl>
    <w:p>
      <w:pPr>
        <w:spacing w:line="520" w:lineRule="exact"/>
        <w:ind w:firstLine="555"/>
        <w:rPr>
          <w:rFonts w:ascii="仿宋_GB2312" w:hAnsi="仿宋" w:eastAsia="仿宋_GB2312"/>
          <w:sz w:val="32"/>
          <w:szCs w:val="32"/>
          <w:highlight w:val="none"/>
        </w:rPr>
      </w:pPr>
      <w:r>
        <w:rPr>
          <w:rFonts w:hint="eastAsia" w:ascii="仿宋_GB2312" w:hAnsi="仿宋" w:eastAsia="仿宋_GB2312"/>
          <w:sz w:val="32"/>
          <w:szCs w:val="32"/>
          <w:highlight w:val="none"/>
        </w:rPr>
        <w:t>注：</w:t>
      </w:r>
    </w:p>
    <w:p>
      <w:pPr>
        <w:spacing w:line="520" w:lineRule="exact"/>
        <w:ind w:firstLine="555"/>
        <w:rPr>
          <w:rFonts w:ascii="仿宋_GB2312" w:hAnsi="仿宋" w:eastAsia="仿宋_GB2312"/>
          <w:sz w:val="32"/>
          <w:szCs w:val="32"/>
          <w:highlight w:val="none"/>
        </w:rPr>
      </w:pPr>
      <w:r>
        <w:rPr>
          <w:rFonts w:hint="eastAsia" w:ascii="仿宋_GB2312" w:hAnsi="仿宋" w:eastAsia="仿宋_GB2312"/>
          <w:sz w:val="32"/>
          <w:szCs w:val="32"/>
          <w:highlight w:val="none"/>
        </w:rPr>
        <w:t>(1)净利差为总生息资产平均收益率与总计息负债平均成本率两者的差额。</w:t>
      </w:r>
    </w:p>
    <w:p>
      <w:pPr>
        <w:spacing w:line="520" w:lineRule="exact"/>
        <w:ind w:firstLine="555"/>
        <w:rPr>
          <w:rFonts w:ascii="仿宋_GB2312" w:hAnsi="仿宋" w:eastAsia="仿宋_GB2312"/>
          <w:sz w:val="32"/>
          <w:szCs w:val="32"/>
          <w:highlight w:val="none"/>
        </w:rPr>
      </w:pPr>
      <w:r>
        <w:rPr>
          <w:rFonts w:hint="eastAsia" w:ascii="仿宋_GB2312" w:hAnsi="仿宋" w:eastAsia="仿宋_GB2312"/>
          <w:sz w:val="32"/>
          <w:szCs w:val="32"/>
          <w:highlight w:val="none"/>
        </w:rPr>
        <w:t>(2)净利息收益率为净利息收入除以总生息资产平均余额。</w:t>
      </w:r>
    </w:p>
    <w:p>
      <w:pPr>
        <w:spacing w:line="520" w:lineRule="exact"/>
        <w:ind w:left="570"/>
        <w:rPr>
          <w:rFonts w:ascii="仿宋_GB2312" w:hAnsi="仿宋" w:eastAsia="仿宋_GB2312"/>
          <w:sz w:val="32"/>
          <w:szCs w:val="32"/>
          <w:highlight w:val="none"/>
        </w:rPr>
      </w:pPr>
      <w:r>
        <w:rPr>
          <w:rFonts w:hint="eastAsia" w:ascii="仿宋_GB2312" w:hAnsi="仿宋" w:eastAsia="仿宋_GB2312"/>
          <w:sz w:val="32"/>
          <w:szCs w:val="32"/>
          <w:highlight w:val="none"/>
        </w:rPr>
        <w:t>(3)成本收入比=业务及管理费除以营业收入。</w:t>
      </w:r>
    </w:p>
    <w:p>
      <w:pPr>
        <w:spacing w:line="520" w:lineRule="exact"/>
        <w:ind w:left="570"/>
        <w:rPr>
          <w:rFonts w:ascii="黑体" w:hAnsi="仿宋" w:eastAsia="黑体"/>
          <w:sz w:val="32"/>
          <w:szCs w:val="32"/>
          <w:highlight w:val="none"/>
        </w:rPr>
      </w:pPr>
      <w:r>
        <w:rPr>
          <w:rFonts w:hint="eastAsia" w:ascii="黑体" w:hAnsi="仿宋" w:eastAsia="黑体"/>
          <w:sz w:val="32"/>
          <w:szCs w:val="32"/>
          <w:highlight w:val="none"/>
        </w:rPr>
        <w:t>三、本报告期资产质量指标</w:t>
      </w:r>
    </w:p>
    <w:p>
      <w:pPr>
        <w:spacing w:line="520" w:lineRule="exact"/>
        <w:ind w:left="570"/>
        <w:rPr>
          <w:rFonts w:ascii="黑体" w:hAnsi="仿宋" w:eastAsia="黑体"/>
          <w:sz w:val="32"/>
          <w:szCs w:val="32"/>
          <w:highlight w:val="none"/>
        </w:rPr>
      </w:pPr>
    </w:p>
    <w:p>
      <w:pPr>
        <w:spacing w:line="520" w:lineRule="exact"/>
        <w:ind w:left="570"/>
        <w:rPr>
          <w:rFonts w:ascii="黑体" w:hAnsi="仿宋" w:eastAsia="黑体"/>
          <w:sz w:val="32"/>
          <w:szCs w:val="32"/>
          <w:highlight w:val="none"/>
        </w:rPr>
      </w:pPr>
    </w:p>
    <w:tbl>
      <w:tblPr>
        <w:tblStyle w:val="4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332"/>
        <w:gridCol w:w="1362"/>
        <w:gridCol w:w="1842"/>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spacing w:line="520" w:lineRule="exact"/>
              <w:jc w:val="center"/>
              <w:rPr>
                <w:rFonts w:ascii="仿宋_GB2312" w:hAnsi="仿宋" w:eastAsia="仿宋_GB2312"/>
                <w:b/>
                <w:sz w:val="24"/>
                <w:szCs w:val="24"/>
                <w:highlight w:val="none"/>
              </w:rPr>
            </w:pPr>
            <w:r>
              <w:rPr>
                <w:rFonts w:hint="eastAsia" w:ascii="仿宋_GB2312" w:hAnsi="仿宋" w:eastAsia="仿宋_GB2312"/>
                <w:b/>
                <w:sz w:val="24"/>
                <w:szCs w:val="24"/>
                <w:highlight w:val="none"/>
              </w:rPr>
              <w:t>项  目</w:t>
            </w:r>
          </w:p>
        </w:tc>
        <w:tc>
          <w:tcPr>
            <w:tcW w:w="1332" w:type="dxa"/>
            <w:vAlign w:val="center"/>
          </w:tcPr>
          <w:p>
            <w:pPr>
              <w:spacing w:line="520" w:lineRule="exact"/>
              <w:jc w:val="center"/>
              <w:rPr>
                <w:rFonts w:ascii="仿宋_GB2312" w:hAnsi="仿宋" w:eastAsia="仿宋_GB2312"/>
                <w:b/>
                <w:sz w:val="24"/>
                <w:szCs w:val="24"/>
                <w:highlight w:val="none"/>
              </w:rPr>
            </w:pPr>
            <w:r>
              <w:rPr>
                <w:rFonts w:hint="eastAsia" w:ascii="仿宋_GB2312" w:hAnsi="仿宋" w:eastAsia="仿宋_GB2312"/>
                <w:b/>
                <w:sz w:val="24"/>
                <w:szCs w:val="24"/>
                <w:highlight w:val="none"/>
              </w:rPr>
              <w:t>202</w:t>
            </w:r>
            <w:r>
              <w:rPr>
                <w:rFonts w:hint="eastAsia" w:ascii="仿宋_GB2312" w:hAnsi="仿宋" w:eastAsia="仿宋_GB2312"/>
                <w:b/>
                <w:sz w:val="24"/>
                <w:szCs w:val="24"/>
                <w:highlight w:val="none"/>
                <w:lang w:val="en-US" w:eastAsia="zh-CN"/>
              </w:rPr>
              <w:t>4</w:t>
            </w:r>
            <w:r>
              <w:rPr>
                <w:rFonts w:hint="eastAsia" w:ascii="仿宋_GB2312" w:hAnsi="仿宋" w:eastAsia="仿宋_GB2312"/>
                <w:b/>
                <w:sz w:val="24"/>
                <w:szCs w:val="24"/>
                <w:highlight w:val="none"/>
              </w:rPr>
              <w:t>年度</w:t>
            </w:r>
          </w:p>
        </w:tc>
        <w:tc>
          <w:tcPr>
            <w:tcW w:w="1362" w:type="dxa"/>
            <w:vAlign w:val="center"/>
          </w:tcPr>
          <w:p>
            <w:pPr>
              <w:spacing w:line="520" w:lineRule="exact"/>
              <w:jc w:val="center"/>
              <w:rPr>
                <w:rFonts w:ascii="仿宋_GB2312" w:hAnsi="仿宋" w:eastAsia="仿宋_GB2312"/>
                <w:b/>
                <w:sz w:val="24"/>
                <w:szCs w:val="24"/>
                <w:highlight w:val="none"/>
              </w:rPr>
            </w:pPr>
            <w:r>
              <w:rPr>
                <w:rFonts w:hint="eastAsia" w:ascii="仿宋_GB2312" w:hAnsi="仿宋" w:eastAsia="仿宋_GB2312"/>
                <w:b/>
                <w:sz w:val="24"/>
                <w:szCs w:val="24"/>
                <w:highlight w:val="none"/>
              </w:rPr>
              <w:t>202</w:t>
            </w:r>
            <w:r>
              <w:rPr>
                <w:rFonts w:hint="eastAsia" w:ascii="仿宋_GB2312" w:hAnsi="仿宋" w:eastAsia="仿宋_GB2312"/>
                <w:b/>
                <w:sz w:val="24"/>
                <w:szCs w:val="24"/>
                <w:highlight w:val="none"/>
                <w:lang w:val="en-US" w:eastAsia="zh-CN"/>
              </w:rPr>
              <w:t>3</w:t>
            </w:r>
            <w:r>
              <w:rPr>
                <w:rFonts w:hint="eastAsia" w:ascii="仿宋_GB2312" w:hAnsi="仿宋" w:eastAsia="仿宋_GB2312"/>
                <w:b/>
                <w:sz w:val="24"/>
                <w:szCs w:val="24"/>
                <w:highlight w:val="none"/>
              </w:rPr>
              <w:t>年度</w:t>
            </w:r>
          </w:p>
        </w:tc>
        <w:tc>
          <w:tcPr>
            <w:tcW w:w="1842" w:type="dxa"/>
            <w:vAlign w:val="center"/>
          </w:tcPr>
          <w:p>
            <w:pPr>
              <w:spacing w:line="520" w:lineRule="exact"/>
              <w:jc w:val="center"/>
              <w:rPr>
                <w:rFonts w:ascii="仿宋_GB2312" w:hAnsi="仿宋" w:eastAsia="仿宋_GB2312"/>
                <w:b/>
                <w:sz w:val="24"/>
                <w:szCs w:val="24"/>
                <w:highlight w:val="none"/>
              </w:rPr>
            </w:pPr>
            <w:r>
              <w:rPr>
                <w:rFonts w:hint="eastAsia" w:ascii="仿宋_GB2312" w:hAnsi="仿宋" w:eastAsia="仿宋_GB2312"/>
                <w:b/>
                <w:sz w:val="24"/>
                <w:szCs w:val="24"/>
                <w:highlight w:val="none"/>
              </w:rPr>
              <w:t>本年度比上年增减(%)</w:t>
            </w:r>
          </w:p>
        </w:tc>
        <w:tc>
          <w:tcPr>
            <w:tcW w:w="1656" w:type="dxa"/>
            <w:vAlign w:val="center"/>
          </w:tcPr>
          <w:p>
            <w:pPr>
              <w:spacing w:line="520" w:lineRule="exact"/>
              <w:jc w:val="center"/>
              <w:rPr>
                <w:rFonts w:ascii="仿宋_GB2312" w:hAnsi="仿宋" w:eastAsia="仿宋_GB2312"/>
                <w:b/>
                <w:sz w:val="24"/>
                <w:szCs w:val="24"/>
                <w:highlight w:val="none"/>
              </w:rPr>
            </w:pPr>
            <w:r>
              <w:rPr>
                <w:rFonts w:hint="eastAsia" w:ascii="仿宋_GB2312" w:hAnsi="仿宋" w:eastAsia="仿宋_GB2312"/>
                <w:b/>
                <w:sz w:val="24"/>
                <w:szCs w:val="24"/>
                <w:highlight w:val="none"/>
              </w:rPr>
              <w:t>202</w:t>
            </w:r>
            <w:r>
              <w:rPr>
                <w:rFonts w:hint="eastAsia" w:ascii="仿宋_GB2312" w:hAnsi="仿宋" w:eastAsia="仿宋_GB2312"/>
                <w:b/>
                <w:sz w:val="24"/>
                <w:szCs w:val="24"/>
                <w:highlight w:val="none"/>
                <w:lang w:val="en-US" w:eastAsia="zh-CN"/>
              </w:rPr>
              <w:t>2</w:t>
            </w:r>
            <w:r>
              <w:rPr>
                <w:rFonts w:hint="eastAsia" w:ascii="仿宋_GB2312" w:hAnsi="仿宋" w:eastAsia="仿宋_GB2312"/>
                <w:b/>
                <w:sz w:val="24"/>
                <w:szCs w:val="24"/>
                <w:highlight w:val="none"/>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不良贷款率</w:t>
            </w:r>
          </w:p>
        </w:tc>
        <w:tc>
          <w:tcPr>
            <w:tcW w:w="1332" w:type="dxa"/>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1.66</w:t>
            </w:r>
          </w:p>
        </w:tc>
        <w:tc>
          <w:tcPr>
            <w:tcW w:w="1362" w:type="dxa"/>
            <w:vAlign w:val="top"/>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1.99</w:t>
            </w:r>
          </w:p>
        </w:tc>
        <w:tc>
          <w:tcPr>
            <w:tcW w:w="1842" w:type="dxa"/>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-0.33</w:t>
            </w:r>
          </w:p>
        </w:tc>
        <w:tc>
          <w:tcPr>
            <w:tcW w:w="1656" w:type="dxa"/>
            <w:vAlign w:val="top"/>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不良贷款拨备覆盖率</w:t>
            </w:r>
          </w:p>
        </w:tc>
        <w:tc>
          <w:tcPr>
            <w:tcW w:w="1332" w:type="dxa"/>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418.37</w:t>
            </w:r>
          </w:p>
        </w:tc>
        <w:tc>
          <w:tcPr>
            <w:tcW w:w="1362" w:type="dxa"/>
            <w:vAlign w:val="top"/>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333</w:t>
            </w:r>
          </w:p>
        </w:tc>
        <w:tc>
          <w:tcPr>
            <w:tcW w:w="1842" w:type="dxa"/>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85.37</w:t>
            </w:r>
          </w:p>
        </w:tc>
        <w:tc>
          <w:tcPr>
            <w:tcW w:w="1656" w:type="dxa"/>
            <w:vAlign w:val="top"/>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highlight w:val="none"/>
              </w:rPr>
              <w:t>498.22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76" w:type="dxa"/>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贷款拨备率</w:t>
            </w:r>
          </w:p>
        </w:tc>
        <w:tc>
          <w:tcPr>
            <w:tcW w:w="1332" w:type="dxa"/>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6.96</w:t>
            </w:r>
          </w:p>
        </w:tc>
        <w:tc>
          <w:tcPr>
            <w:tcW w:w="1362" w:type="dxa"/>
            <w:vAlign w:val="top"/>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6.64</w:t>
            </w:r>
          </w:p>
        </w:tc>
        <w:tc>
          <w:tcPr>
            <w:tcW w:w="1842" w:type="dxa"/>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0.32</w:t>
            </w:r>
          </w:p>
        </w:tc>
        <w:tc>
          <w:tcPr>
            <w:tcW w:w="1656" w:type="dxa"/>
            <w:vAlign w:val="top"/>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highlight w:val="none"/>
              </w:rPr>
              <w:t>5.88</w:t>
            </w:r>
          </w:p>
        </w:tc>
      </w:tr>
    </w:tbl>
    <w:p>
      <w:pPr>
        <w:spacing w:line="520" w:lineRule="exact"/>
        <w:ind w:firstLine="570"/>
        <w:rPr>
          <w:rFonts w:ascii="仿宋_GB2312" w:hAnsi="仿宋" w:eastAsia="仿宋_GB2312"/>
          <w:sz w:val="32"/>
          <w:szCs w:val="32"/>
          <w:highlight w:val="none"/>
        </w:rPr>
      </w:pPr>
      <w:r>
        <w:rPr>
          <w:rFonts w:hint="eastAsia" w:ascii="仿宋_GB2312" w:hAnsi="仿宋" w:eastAsia="仿宋_GB2312"/>
          <w:sz w:val="32"/>
          <w:szCs w:val="32"/>
          <w:highlight w:val="none"/>
        </w:rPr>
        <w:t>注：(1)不良贷款拨备覆盖率=贷款减值准备除以不良贷款余额。</w:t>
      </w:r>
    </w:p>
    <w:p>
      <w:pPr>
        <w:numPr>
          <w:ilvl w:val="0"/>
          <w:numId w:val="8"/>
        </w:numPr>
        <w:spacing w:line="520" w:lineRule="exact"/>
        <w:ind w:firstLine="1120" w:firstLineChars="350"/>
        <w:rPr>
          <w:rFonts w:ascii="仿宋_GB2312" w:hAnsi="仿宋" w:eastAsia="仿宋_GB2312"/>
          <w:sz w:val="32"/>
          <w:szCs w:val="32"/>
          <w:highlight w:val="none"/>
        </w:rPr>
      </w:pPr>
      <w:r>
        <w:rPr>
          <w:rFonts w:hint="eastAsia" w:ascii="仿宋_GB2312" w:hAnsi="仿宋" w:eastAsia="仿宋_GB2312"/>
          <w:sz w:val="32"/>
          <w:szCs w:val="32"/>
          <w:highlight w:val="none"/>
        </w:rPr>
        <w:t>贷款拨备率=贷款减值准备除以贷款及垫款总额。</w:t>
      </w:r>
    </w:p>
    <w:p>
      <w:pPr>
        <w:pStyle w:val="2"/>
        <w:rPr>
          <w:highlight w:val="none"/>
        </w:rPr>
      </w:pPr>
    </w:p>
    <w:p>
      <w:pPr>
        <w:spacing w:line="520" w:lineRule="exact"/>
        <w:ind w:left="570"/>
        <w:rPr>
          <w:rFonts w:ascii="黑体" w:hAnsi="仿宋" w:eastAsia="黑体"/>
          <w:sz w:val="32"/>
          <w:szCs w:val="32"/>
          <w:highlight w:val="none"/>
        </w:rPr>
      </w:pPr>
      <w:r>
        <w:rPr>
          <w:rFonts w:hint="eastAsia" w:ascii="黑体" w:hAnsi="仿宋" w:eastAsia="黑体"/>
          <w:sz w:val="32"/>
          <w:szCs w:val="32"/>
          <w:highlight w:val="none"/>
        </w:rPr>
        <w:t>四、本报告期资本净额构成及资本充足率指标</w:t>
      </w:r>
    </w:p>
    <w:p>
      <w:pPr>
        <w:spacing w:line="520" w:lineRule="exact"/>
        <w:ind w:left="561"/>
        <w:jc w:val="right"/>
        <w:rPr>
          <w:rFonts w:ascii="仿宋_GB2312" w:hAnsi="仿宋" w:eastAsia="仿宋_GB2312"/>
          <w:sz w:val="32"/>
          <w:szCs w:val="32"/>
          <w:highlight w:val="none"/>
        </w:rPr>
      </w:pPr>
      <w:r>
        <w:rPr>
          <w:rFonts w:hint="eastAsia" w:ascii="仿宋_GB2312" w:hAnsi="仿宋" w:eastAsia="仿宋_GB2312"/>
          <w:sz w:val="32"/>
          <w:szCs w:val="32"/>
          <w:highlight w:val="none"/>
        </w:rPr>
        <w:t>（金额单位：人民币万元）</w:t>
      </w:r>
    </w:p>
    <w:p>
      <w:pPr>
        <w:pStyle w:val="2"/>
        <w:rPr>
          <w:highlight w:val="none"/>
        </w:rPr>
      </w:pPr>
    </w:p>
    <w:tbl>
      <w:tblPr>
        <w:tblStyle w:val="4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9"/>
        <w:gridCol w:w="1616"/>
        <w:gridCol w:w="1432"/>
        <w:gridCol w:w="1437"/>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Pr>
          <w:p>
            <w:pPr>
              <w:spacing w:line="520" w:lineRule="exact"/>
              <w:jc w:val="center"/>
              <w:rPr>
                <w:rFonts w:ascii="仿宋_GB2312" w:hAnsi="仿宋" w:eastAsia="仿宋_GB2312"/>
                <w:b/>
                <w:bCs/>
                <w:sz w:val="24"/>
                <w:highlight w:val="none"/>
              </w:rPr>
            </w:pPr>
            <w:r>
              <w:rPr>
                <w:rFonts w:hint="eastAsia" w:ascii="仿宋_GB2312" w:hAnsi="仿宋" w:eastAsia="仿宋_GB2312"/>
                <w:b/>
                <w:bCs/>
                <w:sz w:val="24"/>
                <w:highlight w:val="none"/>
              </w:rPr>
              <w:t>项  目</w:t>
            </w:r>
          </w:p>
        </w:tc>
        <w:tc>
          <w:tcPr>
            <w:tcW w:w="1616"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4</w:t>
            </w:r>
            <w:r>
              <w:rPr>
                <w:rFonts w:hint="eastAsia" w:ascii="仿宋_GB2312" w:hAnsi="仿宋" w:eastAsia="仿宋_GB2312"/>
                <w:b/>
                <w:sz w:val="24"/>
                <w:highlight w:val="none"/>
              </w:rPr>
              <w:t>年度</w:t>
            </w:r>
          </w:p>
        </w:tc>
        <w:tc>
          <w:tcPr>
            <w:tcW w:w="1432"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3</w:t>
            </w:r>
            <w:r>
              <w:rPr>
                <w:rFonts w:hint="eastAsia" w:ascii="仿宋_GB2312" w:hAnsi="仿宋" w:eastAsia="仿宋_GB2312"/>
                <w:b/>
                <w:sz w:val="24"/>
                <w:highlight w:val="none"/>
              </w:rPr>
              <w:t>年度</w:t>
            </w:r>
          </w:p>
        </w:tc>
        <w:tc>
          <w:tcPr>
            <w:tcW w:w="1437"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本年度比上年增减(%)</w:t>
            </w:r>
          </w:p>
        </w:tc>
        <w:tc>
          <w:tcPr>
            <w:tcW w:w="1296"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2</w:t>
            </w:r>
            <w:r>
              <w:rPr>
                <w:rFonts w:hint="eastAsia" w:ascii="仿宋_GB2312" w:hAnsi="仿宋" w:eastAsia="仿宋_GB2312"/>
                <w:b/>
                <w:sz w:val="24"/>
                <w:highlight w:val="none"/>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vAlign w:val="center"/>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rPr>
              <w:t>资本净额</w:t>
            </w:r>
          </w:p>
        </w:tc>
        <w:tc>
          <w:tcPr>
            <w:tcW w:w="1616" w:type="dxa"/>
            <w:vAlign w:val="center"/>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rPr>
              <w:t>125429</w:t>
            </w:r>
          </w:p>
        </w:tc>
        <w:tc>
          <w:tcPr>
            <w:tcW w:w="1432" w:type="dxa"/>
            <w:vAlign w:val="center"/>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rPr>
              <w:t>96991</w:t>
            </w:r>
          </w:p>
        </w:tc>
        <w:tc>
          <w:tcPr>
            <w:tcW w:w="1437" w:type="dxa"/>
            <w:vAlign w:val="center"/>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lang w:val="en-US" w:eastAsia="zh-CN"/>
              </w:rPr>
              <w:t>29.32</w:t>
            </w:r>
          </w:p>
        </w:tc>
        <w:tc>
          <w:tcPr>
            <w:tcW w:w="129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93568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rPr>
              <w:t>核心资本</w:t>
            </w:r>
          </w:p>
        </w:tc>
        <w:tc>
          <w:tcPr>
            <w:tcW w:w="161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97500</w:t>
            </w:r>
          </w:p>
        </w:tc>
        <w:tc>
          <w:tcPr>
            <w:tcW w:w="1432"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91482</w:t>
            </w:r>
          </w:p>
        </w:tc>
        <w:tc>
          <w:tcPr>
            <w:tcW w:w="1437"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6.58</w:t>
            </w:r>
          </w:p>
        </w:tc>
        <w:tc>
          <w:tcPr>
            <w:tcW w:w="129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88708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rPr>
              <w:t>附属资本</w:t>
            </w:r>
          </w:p>
        </w:tc>
        <w:tc>
          <w:tcPr>
            <w:tcW w:w="161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c>
          <w:tcPr>
            <w:tcW w:w="1432"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c>
          <w:tcPr>
            <w:tcW w:w="1437"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c>
          <w:tcPr>
            <w:tcW w:w="129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rPr>
              <w:t>资本扣除项</w:t>
            </w:r>
          </w:p>
        </w:tc>
        <w:tc>
          <w:tcPr>
            <w:tcW w:w="161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29</w:t>
            </w:r>
          </w:p>
        </w:tc>
        <w:tc>
          <w:tcPr>
            <w:tcW w:w="1432"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c>
          <w:tcPr>
            <w:tcW w:w="1437" w:type="dxa"/>
            <w:vAlign w:val="center"/>
          </w:tcPr>
          <w:p>
            <w:pPr>
              <w:spacing w:line="520" w:lineRule="exact"/>
              <w:jc w:val="center"/>
              <w:rPr>
                <w:rFonts w:ascii="仿宋_GB2312" w:hAnsi="仿宋" w:eastAsia="仿宋_GB2312"/>
                <w:sz w:val="24"/>
                <w:highlight w:val="none"/>
              </w:rPr>
            </w:pPr>
          </w:p>
        </w:tc>
        <w:tc>
          <w:tcPr>
            <w:tcW w:w="129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Pr>
          <w:p>
            <w:pPr>
              <w:spacing w:line="520" w:lineRule="exact"/>
              <w:ind w:firstLine="360" w:firstLineChars="150"/>
              <w:rPr>
                <w:rFonts w:ascii="仿宋_GB2312" w:hAnsi="仿宋" w:eastAsia="仿宋_GB2312"/>
                <w:sz w:val="24"/>
                <w:highlight w:val="none"/>
              </w:rPr>
            </w:pPr>
            <w:r>
              <w:rPr>
                <w:rFonts w:hint="eastAsia" w:ascii="仿宋_GB2312" w:hAnsi="仿宋" w:eastAsia="仿宋_GB2312"/>
                <w:sz w:val="24"/>
                <w:highlight w:val="none"/>
              </w:rPr>
              <w:t>加权风险资产</w:t>
            </w:r>
          </w:p>
        </w:tc>
        <w:tc>
          <w:tcPr>
            <w:tcW w:w="161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474206</w:t>
            </w:r>
          </w:p>
        </w:tc>
        <w:tc>
          <w:tcPr>
            <w:tcW w:w="1432"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500286</w:t>
            </w:r>
          </w:p>
        </w:tc>
        <w:tc>
          <w:tcPr>
            <w:tcW w:w="1437"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-5.21</w:t>
            </w:r>
          </w:p>
        </w:tc>
        <w:tc>
          <w:tcPr>
            <w:tcW w:w="129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445317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市场风险资本</w:t>
            </w:r>
          </w:p>
        </w:tc>
        <w:tc>
          <w:tcPr>
            <w:tcW w:w="161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0</w:t>
            </w:r>
          </w:p>
        </w:tc>
        <w:tc>
          <w:tcPr>
            <w:tcW w:w="1432"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c>
          <w:tcPr>
            <w:tcW w:w="1437"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c>
          <w:tcPr>
            <w:tcW w:w="129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资本充足率</w:t>
            </w:r>
          </w:p>
        </w:tc>
        <w:tc>
          <w:tcPr>
            <w:tcW w:w="161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26.45</w:t>
            </w:r>
          </w:p>
        </w:tc>
        <w:tc>
          <w:tcPr>
            <w:tcW w:w="143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19.39</w:t>
            </w:r>
          </w:p>
        </w:tc>
        <w:tc>
          <w:tcPr>
            <w:tcW w:w="143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7.06</w:t>
            </w:r>
          </w:p>
        </w:tc>
        <w:tc>
          <w:tcPr>
            <w:tcW w:w="129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21.01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9"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核心资本充足率</w:t>
            </w:r>
          </w:p>
        </w:tc>
        <w:tc>
          <w:tcPr>
            <w:tcW w:w="161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20.56</w:t>
            </w:r>
          </w:p>
        </w:tc>
        <w:tc>
          <w:tcPr>
            <w:tcW w:w="143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18.29</w:t>
            </w:r>
          </w:p>
        </w:tc>
        <w:tc>
          <w:tcPr>
            <w:tcW w:w="143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2.27</w:t>
            </w:r>
          </w:p>
        </w:tc>
        <w:tc>
          <w:tcPr>
            <w:tcW w:w="129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19.92</w:t>
            </w:r>
          </w:p>
        </w:tc>
      </w:tr>
    </w:tbl>
    <w:p>
      <w:pPr>
        <w:spacing w:line="520" w:lineRule="exact"/>
        <w:ind w:left="573"/>
        <w:rPr>
          <w:rFonts w:ascii="仿宋_GB2312" w:hAnsi="仿宋" w:eastAsia="仿宋_GB2312"/>
          <w:sz w:val="28"/>
          <w:szCs w:val="28"/>
          <w:highlight w:val="none"/>
        </w:rPr>
      </w:pPr>
    </w:p>
    <w:p>
      <w:pPr>
        <w:numPr>
          <w:ilvl w:val="0"/>
          <w:numId w:val="9"/>
        </w:numPr>
        <w:spacing w:line="520" w:lineRule="exact"/>
        <w:ind w:left="570"/>
        <w:rPr>
          <w:rFonts w:ascii="黑体" w:hAnsi="仿宋" w:eastAsia="黑体"/>
          <w:sz w:val="32"/>
          <w:szCs w:val="32"/>
          <w:highlight w:val="none"/>
        </w:rPr>
      </w:pPr>
      <w:r>
        <w:rPr>
          <w:rFonts w:hint="eastAsia" w:ascii="黑体" w:hAnsi="仿宋" w:eastAsia="黑体"/>
          <w:sz w:val="32"/>
          <w:szCs w:val="32"/>
          <w:highlight w:val="none"/>
        </w:rPr>
        <w:t>补充财务指标</w:t>
      </w:r>
    </w:p>
    <w:p>
      <w:pPr>
        <w:pStyle w:val="2"/>
        <w:rPr>
          <w:highlight w:val="none"/>
        </w:rPr>
      </w:pPr>
    </w:p>
    <w:p>
      <w:pPr>
        <w:pStyle w:val="2"/>
        <w:rPr>
          <w:highlight w:val="none"/>
        </w:rPr>
      </w:pPr>
    </w:p>
    <w:tbl>
      <w:tblPr>
        <w:tblStyle w:val="4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1330"/>
        <w:gridCol w:w="1560"/>
        <w:gridCol w:w="1842"/>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项  目</w:t>
            </w:r>
          </w:p>
        </w:tc>
        <w:tc>
          <w:tcPr>
            <w:tcW w:w="133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4</w:t>
            </w:r>
            <w:r>
              <w:rPr>
                <w:rFonts w:hint="eastAsia" w:ascii="仿宋_GB2312" w:hAnsi="仿宋" w:eastAsia="仿宋_GB2312"/>
                <w:b/>
                <w:sz w:val="24"/>
                <w:highlight w:val="none"/>
              </w:rPr>
              <w:t>年度</w:t>
            </w:r>
          </w:p>
        </w:tc>
        <w:tc>
          <w:tcPr>
            <w:tcW w:w="1560"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3</w:t>
            </w:r>
            <w:r>
              <w:rPr>
                <w:rFonts w:hint="eastAsia" w:ascii="仿宋_GB2312" w:hAnsi="仿宋" w:eastAsia="仿宋_GB2312"/>
                <w:b/>
                <w:sz w:val="24"/>
                <w:highlight w:val="none"/>
              </w:rPr>
              <w:t>年度</w:t>
            </w:r>
          </w:p>
        </w:tc>
        <w:tc>
          <w:tcPr>
            <w:tcW w:w="1842"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本年度比上年增减(%)</w:t>
            </w:r>
          </w:p>
        </w:tc>
        <w:tc>
          <w:tcPr>
            <w:tcW w:w="1656" w:type="dxa"/>
            <w:vAlign w:val="center"/>
          </w:tcPr>
          <w:p>
            <w:pPr>
              <w:spacing w:line="520" w:lineRule="exact"/>
              <w:jc w:val="center"/>
              <w:rPr>
                <w:rFonts w:ascii="仿宋_GB2312" w:hAnsi="仿宋" w:eastAsia="仿宋_GB2312"/>
                <w:b/>
                <w:sz w:val="24"/>
                <w:highlight w:val="none"/>
              </w:rPr>
            </w:pPr>
            <w:r>
              <w:rPr>
                <w:rFonts w:hint="eastAsia" w:ascii="仿宋_GB2312" w:hAnsi="仿宋" w:eastAsia="仿宋_GB2312"/>
                <w:b/>
                <w:sz w:val="24"/>
                <w:highlight w:val="none"/>
              </w:rPr>
              <w:t>202</w:t>
            </w:r>
            <w:r>
              <w:rPr>
                <w:rFonts w:hint="eastAsia" w:ascii="仿宋_GB2312" w:hAnsi="仿宋" w:eastAsia="仿宋_GB2312"/>
                <w:b/>
                <w:sz w:val="24"/>
                <w:highlight w:val="none"/>
                <w:lang w:val="en-US" w:eastAsia="zh-CN"/>
              </w:rPr>
              <w:t>2</w:t>
            </w:r>
            <w:r>
              <w:rPr>
                <w:rFonts w:hint="eastAsia" w:ascii="仿宋_GB2312" w:hAnsi="仿宋" w:eastAsia="仿宋_GB2312"/>
                <w:b/>
                <w:sz w:val="24"/>
                <w:highlight w:val="none"/>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gridSpan w:val="5"/>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流动性比例指标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存贷比</w:t>
            </w:r>
          </w:p>
        </w:tc>
        <w:tc>
          <w:tcPr>
            <w:tcW w:w="1330" w:type="dxa"/>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63.72</w:t>
            </w:r>
          </w:p>
        </w:tc>
        <w:tc>
          <w:tcPr>
            <w:tcW w:w="1560" w:type="dxa"/>
            <w:vAlign w:val="top"/>
          </w:tcPr>
          <w:p>
            <w:pPr>
              <w:spacing w:line="520" w:lineRule="exact"/>
              <w:jc w:val="center"/>
              <w:rPr>
                <w:rFonts w:ascii="仿宋_GB2312" w:hAnsi="仿宋" w:eastAsia="仿宋_GB2312"/>
                <w:color w:val="000000" w:themeColor="text1"/>
                <w:sz w:val="24"/>
                <w:highlight w:val="none"/>
              </w:rPr>
            </w:pPr>
            <w:r>
              <w:rPr>
                <w:rFonts w:hint="eastAsia" w:ascii="仿宋_GB2312" w:hAnsi="仿宋" w:eastAsia="仿宋_GB2312"/>
                <w:color w:val="000000" w:themeColor="text1"/>
                <w:sz w:val="24"/>
                <w:highlight w:val="none"/>
              </w:rPr>
              <w:t>58.44</w:t>
            </w:r>
          </w:p>
        </w:tc>
        <w:tc>
          <w:tcPr>
            <w:tcW w:w="1842" w:type="dxa"/>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5.28</w:t>
            </w:r>
          </w:p>
        </w:tc>
        <w:tc>
          <w:tcPr>
            <w:tcW w:w="1656" w:type="dxa"/>
            <w:vAlign w:val="top"/>
          </w:tcPr>
          <w:p>
            <w:pPr>
              <w:spacing w:line="520" w:lineRule="exact"/>
              <w:jc w:val="center"/>
              <w:rPr>
                <w:rFonts w:ascii="仿宋_GB2312" w:hAnsi="仿宋" w:eastAsia="仿宋_GB2312"/>
                <w:color w:val="000000" w:themeColor="text1"/>
                <w:sz w:val="24"/>
                <w:highlight w:val="none"/>
              </w:rPr>
            </w:pPr>
            <w:r>
              <w:rPr>
                <w:rFonts w:hint="eastAsia" w:ascii="仿宋_GB2312" w:hAnsi="仿宋" w:eastAsia="仿宋_GB2312"/>
                <w:color w:val="000000" w:themeColor="text1"/>
                <w:sz w:val="24"/>
                <w:highlight w:val="none"/>
              </w:rPr>
              <w:t>69.72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流动性比例</w:t>
            </w:r>
          </w:p>
        </w:tc>
        <w:tc>
          <w:tcPr>
            <w:tcW w:w="133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79.83</w:t>
            </w:r>
          </w:p>
        </w:tc>
        <w:tc>
          <w:tcPr>
            <w:tcW w:w="1560"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67.45</w:t>
            </w:r>
          </w:p>
        </w:tc>
        <w:tc>
          <w:tcPr>
            <w:tcW w:w="1842"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lang w:val="en-US" w:eastAsia="zh-CN"/>
              </w:rPr>
              <w:t>12.38</w:t>
            </w:r>
          </w:p>
        </w:tc>
        <w:tc>
          <w:tcPr>
            <w:tcW w:w="1656" w:type="dxa"/>
            <w:vAlign w:val="top"/>
          </w:tcPr>
          <w:p>
            <w:pPr>
              <w:spacing w:line="520" w:lineRule="exact"/>
              <w:jc w:val="center"/>
              <w:rPr>
                <w:rFonts w:ascii="仿宋_GB2312" w:hAnsi="仿宋" w:eastAsia="仿宋_GB2312"/>
                <w:sz w:val="24"/>
                <w:highlight w:val="none"/>
              </w:rPr>
            </w:pPr>
            <w:r>
              <w:rPr>
                <w:rFonts w:hint="eastAsia" w:ascii="仿宋_GB2312" w:hAnsi="仿宋" w:eastAsia="仿宋_GB2312"/>
                <w:sz w:val="24"/>
                <w:highlight w:val="none"/>
              </w:rPr>
              <w:t>68.20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单一最大贷款和垫款比例</w:t>
            </w:r>
          </w:p>
        </w:tc>
        <w:tc>
          <w:tcPr>
            <w:tcW w:w="1330" w:type="dxa"/>
            <w:vAlign w:val="center"/>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0.79</w:t>
            </w:r>
          </w:p>
        </w:tc>
        <w:tc>
          <w:tcPr>
            <w:tcW w:w="1560" w:type="dxa"/>
            <w:vAlign w:val="center"/>
          </w:tcPr>
          <w:p>
            <w:pPr>
              <w:spacing w:line="520" w:lineRule="exact"/>
              <w:jc w:val="center"/>
              <w:rPr>
                <w:rFonts w:ascii="仿宋_GB2312" w:hAnsi="仿宋" w:eastAsia="仿宋_GB2312"/>
                <w:color w:val="000000" w:themeColor="text1"/>
                <w:sz w:val="24"/>
                <w:highlight w:val="none"/>
              </w:rPr>
            </w:pPr>
            <w:r>
              <w:rPr>
                <w:rFonts w:ascii="仿宋_GB2312" w:hAnsi="仿宋" w:eastAsia="仿宋_GB2312"/>
                <w:color w:val="000000" w:themeColor="text1"/>
                <w:sz w:val="24"/>
                <w:highlight w:val="none"/>
              </w:rPr>
              <w:t>1.02</w:t>
            </w:r>
          </w:p>
        </w:tc>
        <w:tc>
          <w:tcPr>
            <w:tcW w:w="1842" w:type="dxa"/>
            <w:vAlign w:val="center"/>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-0.23</w:t>
            </w:r>
          </w:p>
        </w:tc>
        <w:tc>
          <w:tcPr>
            <w:tcW w:w="165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color w:val="000000" w:themeColor="text1"/>
                <w:sz w:val="24"/>
                <w:highlight w:val="none"/>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180" w:type="dxa"/>
          </w:tcPr>
          <w:p>
            <w:pPr>
              <w:spacing w:line="520" w:lineRule="exact"/>
              <w:rPr>
                <w:rFonts w:ascii="仿宋_GB2312" w:hAnsi="仿宋" w:eastAsia="仿宋_GB2312"/>
                <w:sz w:val="24"/>
                <w:highlight w:val="none"/>
              </w:rPr>
            </w:pPr>
            <w:r>
              <w:rPr>
                <w:rFonts w:hint="eastAsia" w:ascii="仿宋_GB2312" w:hAnsi="仿宋" w:eastAsia="仿宋_GB2312"/>
                <w:sz w:val="24"/>
                <w:highlight w:val="none"/>
              </w:rPr>
              <w:t>最大十家贷款和垫款比例</w:t>
            </w:r>
          </w:p>
        </w:tc>
        <w:tc>
          <w:tcPr>
            <w:tcW w:w="1330" w:type="dxa"/>
            <w:vAlign w:val="center"/>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7.89</w:t>
            </w:r>
          </w:p>
        </w:tc>
        <w:tc>
          <w:tcPr>
            <w:tcW w:w="1560" w:type="dxa"/>
            <w:vAlign w:val="center"/>
          </w:tcPr>
          <w:p>
            <w:pPr>
              <w:spacing w:line="520" w:lineRule="exact"/>
              <w:jc w:val="center"/>
              <w:rPr>
                <w:rFonts w:ascii="仿宋_GB2312" w:hAnsi="仿宋" w:eastAsia="仿宋_GB2312"/>
                <w:color w:val="000000" w:themeColor="text1"/>
                <w:sz w:val="24"/>
                <w:highlight w:val="none"/>
              </w:rPr>
            </w:pPr>
            <w:r>
              <w:rPr>
                <w:rFonts w:ascii="仿宋_GB2312" w:hAnsi="仿宋" w:eastAsia="仿宋_GB2312"/>
                <w:color w:val="000000" w:themeColor="text1"/>
                <w:sz w:val="24"/>
                <w:highlight w:val="none"/>
              </w:rPr>
              <w:t>10.2</w:t>
            </w:r>
            <w:r>
              <w:rPr>
                <w:rFonts w:hint="eastAsia" w:ascii="仿宋_GB2312" w:hAnsi="仿宋" w:eastAsia="仿宋_GB2312"/>
                <w:color w:val="000000" w:themeColor="text1"/>
                <w:sz w:val="24"/>
                <w:highlight w:val="none"/>
              </w:rPr>
              <w:t>1</w:t>
            </w:r>
          </w:p>
        </w:tc>
        <w:tc>
          <w:tcPr>
            <w:tcW w:w="1842" w:type="dxa"/>
            <w:vAlign w:val="center"/>
          </w:tcPr>
          <w:p>
            <w:pPr>
              <w:spacing w:line="520" w:lineRule="exact"/>
              <w:jc w:val="center"/>
              <w:rPr>
                <w:rFonts w:hint="default" w:ascii="仿宋_GB2312" w:hAnsi="仿宋" w:eastAsia="仿宋_GB2312"/>
                <w:color w:val="000000" w:themeColor="text1"/>
                <w:sz w:val="24"/>
                <w:highlight w:val="none"/>
                <w:lang w:val="en-US" w:eastAsia="zh-CN"/>
              </w:rPr>
            </w:pPr>
            <w:r>
              <w:rPr>
                <w:rFonts w:hint="eastAsia" w:ascii="仿宋_GB2312" w:hAnsi="仿宋" w:eastAsia="仿宋_GB2312"/>
                <w:color w:val="000000" w:themeColor="text1"/>
                <w:sz w:val="24"/>
                <w:highlight w:val="none"/>
                <w:lang w:val="en-US" w:eastAsia="zh-CN"/>
              </w:rPr>
              <w:t>-2.32</w:t>
            </w:r>
          </w:p>
        </w:tc>
        <w:tc>
          <w:tcPr>
            <w:tcW w:w="1656" w:type="dxa"/>
            <w:vAlign w:val="center"/>
          </w:tcPr>
          <w:p>
            <w:pPr>
              <w:spacing w:line="520" w:lineRule="exact"/>
              <w:jc w:val="center"/>
              <w:rPr>
                <w:rFonts w:ascii="仿宋_GB2312" w:hAnsi="仿宋" w:eastAsia="仿宋_GB2312"/>
                <w:sz w:val="24"/>
                <w:highlight w:val="none"/>
              </w:rPr>
            </w:pPr>
            <w:r>
              <w:rPr>
                <w:rFonts w:hint="eastAsia" w:ascii="仿宋_GB2312" w:hAnsi="仿宋" w:eastAsia="仿宋_GB2312"/>
                <w:color w:val="000000" w:themeColor="text1"/>
                <w:sz w:val="24"/>
                <w:highlight w:val="none"/>
              </w:rPr>
              <w:t>10.56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gridSpan w:val="5"/>
          </w:tcPr>
          <w:p>
            <w:pPr>
              <w:spacing w:line="520" w:lineRule="exact"/>
              <w:jc w:val="center"/>
              <w:rPr>
                <w:rFonts w:ascii="宋体" w:hAnsi="宋体" w:cs="宋体"/>
                <w:szCs w:val="21"/>
                <w:highlight w:val="none"/>
              </w:rPr>
            </w:pPr>
            <w:r>
              <w:rPr>
                <w:rFonts w:hint="eastAsia" w:ascii="仿宋_GB2312" w:hAnsi="仿宋_GB2312" w:eastAsia="仿宋_GB2312" w:cs="仿宋_GB2312"/>
                <w:sz w:val="24"/>
                <w:szCs w:val="24"/>
                <w:highlight w:val="none"/>
              </w:rPr>
              <w:t>迁徙率指标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正常类贷款迁徙率</w:t>
            </w:r>
          </w:p>
        </w:tc>
        <w:tc>
          <w:tcPr>
            <w:tcW w:w="1330" w:type="dxa"/>
            <w:vAlign w:val="center"/>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 xml:space="preserve">3.43 </w:t>
            </w:r>
          </w:p>
        </w:tc>
        <w:tc>
          <w:tcPr>
            <w:tcW w:w="1560" w:type="dxa"/>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6.66</w:t>
            </w:r>
          </w:p>
        </w:tc>
        <w:tc>
          <w:tcPr>
            <w:tcW w:w="1842" w:type="dxa"/>
            <w:vAlign w:val="center"/>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-3.23</w:t>
            </w:r>
          </w:p>
        </w:tc>
        <w:tc>
          <w:tcPr>
            <w:tcW w:w="1656" w:type="dxa"/>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关注类贷款迁徙率</w:t>
            </w:r>
          </w:p>
        </w:tc>
        <w:tc>
          <w:tcPr>
            <w:tcW w:w="1330" w:type="dxa"/>
            <w:vAlign w:val="center"/>
          </w:tcPr>
          <w:p>
            <w:pPr>
              <w:spacing w:line="520" w:lineRule="exact"/>
              <w:jc w:val="center"/>
              <w:rPr>
                <w:rFonts w:hint="eastAsia" w:ascii="仿宋_GB2312" w:hAnsi="仿宋" w:eastAsia="仿宋_GB2312"/>
                <w:sz w:val="24"/>
                <w:szCs w:val="24"/>
                <w:highlight w:val="none"/>
              </w:rPr>
            </w:pPr>
            <w:r>
              <w:rPr>
                <w:rFonts w:hint="eastAsia" w:ascii="仿宋_GB2312" w:hAnsi="仿宋" w:eastAsia="仿宋_GB2312"/>
                <w:sz w:val="24"/>
                <w:szCs w:val="24"/>
                <w:highlight w:val="none"/>
                <w:lang w:val="en-US" w:eastAsia="zh-CN"/>
              </w:rPr>
              <w:t xml:space="preserve">23.64 </w:t>
            </w:r>
          </w:p>
        </w:tc>
        <w:tc>
          <w:tcPr>
            <w:tcW w:w="1560" w:type="dxa"/>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29.62</w:t>
            </w:r>
          </w:p>
        </w:tc>
        <w:tc>
          <w:tcPr>
            <w:tcW w:w="1842" w:type="dxa"/>
            <w:vAlign w:val="center"/>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-5.98</w:t>
            </w:r>
          </w:p>
        </w:tc>
        <w:tc>
          <w:tcPr>
            <w:tcW w:w="1656" w:type="dxa"/>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16.47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80"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次级类贷款迁徙率</w:t>
            </w:r>
          </w:p>
        </w:tc>
        <w:tc>
          <w:tcPr>
            <w:tcW w:w="1330" w:type="dxa"/>
            <w:vAlign w:val="center"/>
          </w:tcPr>
          <w:p>
            <w:pPr>
              <w:spacing w:line="520" w:lineRule="exact"/>
              <w:jc w:val="center"/>
              <w:rPr>
                <w:rFonts w:hint="eastAsia" w:ascii="仿宋_GB2312" w:hAnsi="仿宋" w:eastAsia="仿宋_GB2312"/>
                <w:sz w:val="24"/>
                <w:szCs w:val="24"/>
                <w:highlight w:val="none"/>
              </w:rPr>
            </w:pPr>
            <w:r>
              <w:rPr>
                <w:rFonts w:hint="eastAsia" w:ascii="仿宋_GB2312" w:hAnsi="仿宋" w:eastAsia="仿宋_GB2312"/>
                <w:sz w:val="24"/>
                <w:szCs w:val="24"/>
                <w:highlight w:val="none"/>
                <w:lang w:val="en-US" w:eastAsia="zh-CN"/>
              </w:rPr>
              <w:t xml:space="preserve">63.02 </w:t>
            </w:r>
          </w:p>
        </w:tc>
        <w:tc>
          <w:tcPr>
            <w:tcW w:w="1560" w:type="dxa"/>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23.21</w:t>
            </w:r>
          </w:p>
        </w:tc>
        <w:tc>
          <w:tcPr>
            <w:tcW w:w="1842" w:type="dxa"/>
            <w:vAlign w:val="center"/>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39.81</w:t>
            </w:r>
          </w:p>
        </w:tc>
        <w:tc>
          <w:tcPr>
            <w:tcW w:w="1656" w:type="dxa"/>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可疑类贷款迁徙率</w:t>
            </w:r>
          </w:p>
        </w:tc>
        <w:tc>
          <w:tcPr>
            <w:tcW w:w="133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仿宋" w:eastAsia="仿宋_GB2312"/>
                <w:sz w:val="24"/>
                <w:szCs w:val="24"/>
                <w:highlight w:val="none"/>
              </w:rPr>
            </w:pPr>
            <w:r>
              <w:rPr>
                <w:rFonts w:hint="eastAsia" w:ascii="仿宋_GB2312" w:hAnsi="仿宋" w:eastAsia="仿宋_GB2312"/>
                <w:sz w:val="24"/>
                <w:szCs w:val="24"/>
                <w:highlight w:val="none"/>
                <w:lang w:val="en-US" w:eastAsia="zh-CN"/>
              </w:rPr>
              <w:t xml:space="preserve">65.43 </w:t>
            </w:r>
          </w:p>
        </w:tc>
        <w:tc>
          <w:tcPr>
            <w:tcW w:w="15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1.65</w:t>
            </w:r>
          </w:p>
        </w:tc>
        <w:tc>
          <w:tcPr>
            <w:tcW w:w="184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default" w:ascii="仿宋_GB2312" w:hAnsi="仿宋" w:eastAsia="仿宋_GB2312"/>
                <w:sz w:val="24"/>
                <w:szCs w:val="24"/>
                <w:highlight w:val="none"/>
                <w:lang w:val="en-US" w:eastAsia="zh-CN"/>
              </w:rPr>
            </w:pPr>
            <w:r>
              <w:rPr>
                <w:rFonts w:hint="eastAsia" w:ascii="仿宋_GB2312" w:hAnsi="仿宋" w:eastAsia="仿宋_GB2312"/>
                <w:sz w:val="24"/>
                <w:szCs w:val="24"/>
                <w:highlight w:val="none"/>
                <w:lang w:val="en-US" w:eastAsia="zh-CN"/>
              </w:rPr>
              <w:t>63.78</w:t>
            </w:r>
          </w:p>
        </w:tc>
        <w:tc>
          <w:tcPr>
            <w:tcW w:w="165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 w:eastAsia="仿宋_GB2312"/>
                <w:sz w:val="24"/>
                <w:szCs w:val="24"/>
                <w:highlight w:val="none"/>
              </w:rPr>
            </w:pPr>
            <w:r>
              <w:rPr>
                <w:rFonts w:hint="eastAsia" w:ascii="仿宋_GB2312" w:hAnsi="仿宋" w:eastAsia="仿宋_GB2312"/>
                <w:sz w:val="24"/>
                <w:szCs w:val="24"/>
                <w:highlight w:val="none"/>
              </w:rPr>
              <w:t>7.07</w:t>
            </w:r>
          </w:p>
        </w:tc>
      </w:tr>
    </w:tbl>
    <w:p>
      <w:pPr>
        <w:spacing w:line="520" w:lineRule="exact"/>
        <w:ind w:firstLine="480" w:firstLineChars="150"/>
        <w:rPr>
          <w:rFonts w:ascii="仿宋_GB2312" w:hAnsi="仿宋" w:eastAsia="仿宋_GB2312"/>
          <w:sz w:val="32"/>
          <w:szCs w:val="32"/>
          <w:highlight w:val="none"/>
        </w:rPr>
      </w:pPr>
      <w:r>
        <w:rPr>
          <w:rFonts w:hint="eastAsia" w:ascii="仿宋_GB2312" w:hAnsi="仿宋" w:eastAsia="仿宋_GB2312"/>
          <w:sz w:val="32"/>
          <w:szCs w:val="32"/>
          <w:highlight w:val="none"/>
        </w:rPr>
        <w:t>注：(1)以上数据均为本联社口径，根据国家金融监管总局</w:t>
      </w:r>
      <w:r>
        <w:rPr>
          <w:rFonts w:hint="eastAsia" w:ascii="仿宋_GB2312" w:hAnsi="仿宋" w:eastAsia="仿宋_GB2312"/>
          <w:color w:val="000000" w:themeColor="text1"/>
          <w:sz w:val="32"/>
          <w:szCs w:val="32"/>
          <w:highlight w:val="none"/>
        </w:rPr>
        <w:t>监</w:t>
      </w:r>
      <w:r>
        <w:rPr>
          <w:rFonts w:hint="eastAsia" w:ascii="仿宋_GB2312" w:hAnsi="仿宋" w:eastAsia="仿宋_GB2312"/>
          <w:sz w:val="32"/>
          <w:szCs w:val="32"/>
          <w:highlight w:val="none"/>
        </w:rPr>
        <w:t>管口径计算。</w:t>
      </w:r>
    </w:p>
    <w:p>
      <w:pPr>
        <w:spacing w:line="520" w:lineRule="exact"/>
        <w:ind w:firstLine="960" w:firstLineChars="300"/>
        <w:rPr>
          <w:sz w:val="32"/>
          <w:szCs w:val="32"/>
          <w:highlight w:val="none"/>
        </w:rPr>
      </w:pPr>
      <w:r>
        <w:rPr>
          <w:rFonts w:hint="eastAsia" w:ascii="仿宋_GB2312" w:hAnsi="仿宋" w:eastAsia="仿宋_GB2312"/>
          <w:sz w:val="32"/>
          <w:szCs w:val="32"/>
          <w:highlight w:val="none"/>
        </w:rPr>
        <w:t xml:space="preserve"> (2)正常类贷款迁徙率=期初正常类贷款转为后四类贷款的余额/期初正常类贷款期末仍为贷款的部分*100%；关注类贷款迁徙率=期初关注类贷款转为后不良贷款的余额/期初关注类贷款期末仍为贷款的部分*100%；次级类贷款迁徙率=期初次级类贷款转为可疑类和损失类贷款的余额/期初可疑类贷款期末仍为贷款的部分*100%；可疑类贷款迁徙率=期初可疑类贷款转为损失类贷款的余额/期初可疑类贷款期末仍为贷款的部分*100%。</w:t>
      </w:r>
    </w:p>
    <w:p>
      <w:pPr>
        <w:spacing w:line="520" w:lineRule="exact"/>
        <w:ind w:firstLine="960" w:firstLineChars="300"/>
        <w:rPr>
          <w:rFonts w:ascii="仿宋_GB2312" w:hAnsi="仿宋" w:eastAsia="仿宋_GB2312"/>
          <w:sz w:val="32"/>
          <w:szCs w:val="32"/>
          <w:highlight w:val="none"/>
        </w:rPr>
      </w:pPr>
    </w:p>
    <w:p>
      <w:pPr>
        <w:spacing w:line="520" w:lineRule="exact"/>
        <w:ind w:firstLine="573"/>
        <w:jc w:val="center"/>
        <w:rPr>
          <w:rFonts w:ascii="黑体" w:hAnsi="仿宋" w:eastAsia="黑体"/>
          <w:sz w:val="32"/>
          <w:szCs w:val="32"/>
          <w:highlight w:val="none"/>
        </w:rPr>
      </w:pPr>
      <w:r>
        <w:rPr>
          <w:rFonts w:hint="eastAsia" w:ascii="黑体" w:hAnsi="仿宋" w:eastAsia="黑体"/>
          <w:sz w:val="32"/>
          <w:szCs w:val="32"/>
          <w:highlight w:val="none"/>
        </w:rPr>
        <w:t>第五章  理事会报告</w:t>
      </w:r>
    </w:p>
    <w:p>
      <w:pPr>
        <w:spacing w:line="520" w:lineRule="exact"/>
        <w:ind w:firstLine="640" w:firstLineChars="200"/>
        <w:rPr>
          <w:rFonts w:ascii="黑体" w:hAnsi="仿宋" w:eastAsia="黑体"/>
          <w:sz w:val="32"/>
          <w:szCs w:val="32"/>
          <w:highlight w:val="none"/>
        </w:rPr>
      </w:pPr>
      <w:r>
        <w:rPr>
          <w:rFonts w:hint="eastAsia" w:ascii="黑体" w:hAnsi="仿宋" w:eastAsia="黑体"/>
          <w:sz w:val="32"/>
          <w:szCs w:val="32"/>
          <w:highlight w:val="none"/>
        </w:rPr>
        <w:t>一、报告期内经营情况的讨论与分析</w:t>
      </w:r>
    </w:p>
    <w:p>
      <w:pPr>
        <w:spacing w:line="520" w:lineRule="exact"/>
        <w:ind w:firstLine="600"/>
        <w:rPr>
          <w:rFonts w:ascii="楷体_GB2312" w:hAnsi="楷体" w:eastAsia="楷体_GB2312"/>
          <w:b/>
          <w:sz w:val="32"/>
          <w:szCs w:val="32"/>
          <w:highlight w:val="none"/>
        </w:rPr>
      </w:pPr>
      <w:r>
        <w:rPr>
          <w:rFonts w:hint="eastAsia" w:ascii="楷体_GB2312" w:hAnsi="楷体" w:eastAsia="楷体_GB2312"/>
          <w:b/>
          <w:sz w:val="32"/>
          <w:szCs w:val="32"/>
          <w:highlight w:val="none"/>
        </w:rPr>
        <w:t>(一)报告期内总体经营分析</w:t>
      </w:r>
    </w:p>
    <w:p>
      <w:pPr>
        <w:spacing w:line="520" w:lineRule="exact"/>
        <w:ind w:firstLine="601"/>
        <w:rPr>
          <w:rFonts w:ascii="仿宋_GB2312" w:hAnsi="仿宋" w:eastAsia="仿宋_GB2312"/>
          <w:sz w:val="32"/>
          <w:szCs w:val="32"/>
          <w:highlight w:val="none"/>
        </w:rPr>
      </w:pPr>
      <w:r>
        <w:rPr>
          <w:rFonts w:hint="eastAsia" w:ascii="仿宋_GB2312" w:hAnsi="宋体" w:eastAsia="仿宋_GB2312"/>
          <w:sz w:val="32"/>
          <w:szCs w:val="32"/>
          <w:highlight w:val="none"/>
        </w:rPr>
        <w:t>至202</w:t>
      </w:r>
      <w:r>
        <w:rPr>
          <w:rFonts w:hint="eastAsia" w:ascii="仿宋_GB2312" w:hAnsi="宋体" w:eastAsia="仿宋_GB2312"/>
          <w:sz w:val="32"/>
          <w:szCs w:val="32"/>
          <w:highlight w:val="none"/>
          <w:lang w:val="en-US" w:eastAsia="zh-CN"/>
        </w:rPr>
        <w:t>4</w:t>
      </w:r>
      <w:r>
        <w:rPr>
          <w:rFonts w:hint="eastAsia" w:ascii="仿宋_GB2312" w:hAnsi="宋体" w:eastAsia="仿宋_GB2312"/>
          <w:sz w:val="32"/>
          <w:szCs w:val="32"/>
          <w:highlight w:val="none"/>
        </w:rPr>
        <w:t>年12月末，</w:t>
      </w:r>
      <w:r>
        <w:rPr>
          <w:rFonts w:hint="eastAsia" w:ascii="仿宋_GB2312" w:hAnsi="宋体" w:eastAsia="仿宋_GB2312"/>
          <w:sz w:val="32"/>
          <w:szCs w:val="32"/>
          <w:highlight w:val="none"/>
          <w:lang w:eastAsia="zh-CN"/>
        </w:rPr>
        <w:t>本社</w:t>
      </w:r>
      <w:r>
        <w:rPr>
          <w:rFonts w:hint="eastAsia" w:ascii="仿宋_GB2312" w:hAnsi="宋体" w:eastAsia="仿宋_GB2312"/>
          <w:sz w:val="32"/>
          <w:szCs w:val="32"/>
          <w:highlight w:val="none"/>
        </w:rPr>
        <w:t>各项存款余额</w:t>
      </w:r>
      <w:r>
        <w:rPr>
          <w:rFonts w:hint="eastAsia" w:ascii="仿宋_GB2312" w:hAnsi="宋体" w:eastAsia="仿宋_GB2312" w:cs="宋体"/>
          <w:kern w:val="0"/>
          <w:sz w:val="32"/>
          <w:szCs w:val="32"/>
          <w:highlight w:val="none"/>
          <w:lang w:val="en-US" w:eastAsia="zh-CN"/>
        </w:rPr>
        <w:t>649712</w:t>
      </w:r>
      <w:r>
        <w:rPr>
          <w:rFonts w:hint="eastAsia" w:ascii="仿宋_GB2312" w:hAnsi="宋体" w:eastAsia="仿宋_GB2312" w:cs="宋体"/>
          <w:kern w:val="0"/>
          <w:sz w:val="32"/>
          <w:szCs w:val="32"/>
          <w:highlight w:val="none"/>
        </w:rPr>
        <w:t>万元，比年初增加</w:t>
      </w:r>
      <w:r>
        <w:rPr>
          <w:rFonts w:hint="eastAsia" w:ascii="仿宋_GB2312" w:hAnsi="宋体" w:eastAsia="仿宋_GB2312" w:cs="宋体"/>
          <w:kern w:val="0"/>
          <w:sz w:val="32"/>
          <w:szCs w:val="32"/>
          <w:highlight w:val="none"/>
          <w:lang w:val="en-US" w:eastAsia="zh-CN"/>
        </w:rPr>
        <w:t>27355</w:t>
      </w:r>
      <w:r>
        <w:rPr>
          <w:rFonts w:hint="eastAsia" w:ascii="仿宋_GB2312" w:hAnsi="宋体" w:eastAsia="仿宋_GB2312" w:cs="宋体"/>
          <w:kern w:val="0"/>
          <w:sz w:val="32"/>
          <w:szCs w:val="32"/>
          <w:highlight w:val="none"/>
        </w:rPr>
        <w:t>万元，增幅</w:t>
      </w:r>
      <w:r>
        <w:rPr>
          <w:rFonts w:hint="eastAsia" w:ascii="仿宋_GB2312" w:hAnsi="宋体" w:eastAsia="仿宋_GB2312" w:cs="宋体"/>
          <w:kern w:val="0"/>
          <w:sz w:val="32"/>
          <w:szCs w:val="32"/>
          <w:highlight w:val="none"/>
          <w:lang w:val="en-US" w:eastAsia="zh-CN"/>
        </w:rPr>
        <w:t>4.4</w:t>
      </w:r>
      <w:r>
        <w:rPr>
          <w:rFonts w:hint="eastAsia" w:ascii="仿宋_GB2312" w:hAnsi="宋体" w:eastAsia="仿宋_GB2312" w:cs="宋体"/>
          <w:kern w:val="0"/>
          <w:sz w:val="32"/>
          <w:szCs w:val="32"/>
          <w:highlight w:val="none"/>
        </w:rPr>
        <w:t>%</w:t>
      </w:r>
      <w:r>
        <w:rPr>
          <w:rFonts w:hint="eastAsia" w:ascii="仿宋_GB2312" w:hAnsi="宋体" w:eastAsia="仿宋_GB2312"/>
          <w:sz w:val="32"/>
          <w:szCs w:val="32"/>
          <w:highlight w:val="none"/>
        </w:rPr>
        <w:t>,市场占有份额</w:t>
      </w:r>
      <w:r>
        <w:rPr>
          <w:rFonts w:hint="eastAsia" w:ascii="仿宋_GB2312" w:hAnsi="宋体" w:eastAsia="仿宋_GB2312"/>
          <w:sz w:val="32"/>
          <w:szCs w:val="32"/>
          <w:highlight w:val="none"/>
          <w:lang w:val="en-US" w:eastAsia="zh-CN"/>
        </w:rPr>
        <w:t>37.46</w:t>
      </w:r>
      <w:r>
        <w:rPr>
          <w:rFonts w:hint="eastAsia" w:ascii="仿宋_GB2312" w:hAnsi="宋体" w:eastAsia="仿宋_GB2312"/>
          <w:sz w:val="32"/>
          <w:szCs w:val="32"/>
          <w:highlight w:val="none"/>
        </w:rPr>
        <w:t>%,比年初增加</w:t>
      </w:r>
      <w:r>
        <w:rPr>
          <w:rFonts w:hint="eastAsia" w:ascii="仿宋_GB2312" w:hAnsi="宋体" w:eastAsia="仿宋_GB2312"/>
          <w:sz w:val="32"/>
          <w:szCs w:val="32"/>
          <w:highlight w:val="none"/>
          <w:lang w:val="en-US" w:eastAsia="zh-CN"/>
        </w:rPr>
        <w:t>0.55</w:t>
      </w:r>
      <w:r>
        <w:rPr>
          <w:rFonts w:hint="eastAsia" w:ascii="仿宋_GB2312" w:hAnsi="宋体" w:eastAsia="仿宋_GB2312"/>
          <w:sz w:val="32"/>
          <w:szCs w:val="32"/>
          <w:highlight w:val="none"/>
        </w:rPr>
        <w:t>个百分点;各项贷款余额</w:t>
      </w:r>
      <w:r>
        <w:rPr>
          <w:rFonts w:hint="eastAsia" w:ascii="仿宋_GB2312" w:hAnsi="宋体" w:eastAsia="仿宋_GB2312" w:cs="宋体"/>
          <w:kern w:val="0"/>
          <w:sz w:val="32"/>
          <w:szCs w:val="32"/>
          <w:highlight w:val="none"/>
          <w:lang w:val="en-US" w:eastAsia="zh-CN"/>
        </w:rPr>
        <w:t>499093</w:t>
      </w:r>
      <w:r>
        <w:rPr>
          <w:rFonts w:hint="eastAsia" w:ascii="仿宋_GB2312" w:hAnsi="宋体" w:eastAsia="仿宋_GB2312"/>
          <w:sz w:val="32"/>
          <w:szCs w:val="32"/>
          <w:highlight w:val="none"/>
        </w:rPr>
        <w:t>万元，比年初增加</w:t>
      </w:r>
      <w:r>
        <w:rPr>
          <w:rFonts w:hint="eastAsia" w:ascii="仿宋_GB2312" w:hAnsi="宋体" w:eastAsia="仿宋_GB2312" w:cs="宋体"/>
          <w:kern w:val="0"/>
          <w:sz w:val="32"/>
          <w:szCs w:val="32"/>
          <w:highlight w:val="none"/>
          <w:lang w:val="en-US" w:eastAsia="zh-CN"/>
        </w:rPr>
        <w:t>17350</w:t>
      </w:r>
      <w:r>
        <w:rPr>
          <w:rFonts w:hint="eastAsia" w:ascii="仿宋_GB2312" w:hAnsi="宋体" w:eastAsia="仿宋_GB2312"/>
          <w:sz w:val="32"/>
          <w:szCs w:val="32"/>
          <w:highlight w:val="none"/>
        </w:rPr>
        <w:t>万元,增幅</w:t>
      </w:r>
      <w:r>
        <w:rPr>
          <w:rFonts w:hint="eastAsia" w:ascii="仿宋_GB2312" w:hAnsi="宋体" w:eastAsia="仿宋_GB2312" w:cs="宋体"/>
          <w:kern w:val="0"/>
          <w:sz w:val="32"/>
          <w:szCs w:val="32"/>
          <w:highlight w:val="none"/>
          <w:lang w:val="en-US" w:eastAsia="zh-CN"/>
        </w:rPr>
        <w:t>3.6</w:t>
      </w:r>
      <w:r>
        <w:rPr>
          <w:rFonts w:hint="eastAsia" w:ascii="仿宋_GB2312" w:hAnsi="宋体" w:eastAsia="仿宋_GB2312"/>
          <w:sz w:val="32"/>
          <w:szCs w:val="32"/>
          <w:highlight w:val="none"/>
        </w:rPr>
        <w:t>%,市场占有份额</w:t>
      </w:r>
      <w:r>
        <w:rPr>
          <w:rFonts w:hint="eastAsia" w:ascii="仿宋_GB2312" w:hAnsi="宋体" w:eastAsia="仿宋_GB2312"/>
          <w:sz w:val="32"/>
          <w:szCs w:val="32"/>
          <w:highlight w:val="none"/>
          <w:lang w:val="en-US" w:eastAsia="zh-CN"/>
        </w:rPr>
        <w:t>31.8</w:t>
      </w:r>
      <w:r>
        <w:rPr>
          <w:rFonts w:hint="eastAsia" w:ascii="仿宋_GB2312" w:hAnsi="宋体" w:eastAsia="仿宋_GB2312"/>
          <w:sz w:val="32"/>
          <w:szCs w:val="32"/>
          <w:highlight w:val="none"/>
        </w:rPr>
        <w:t>%,比年初</w:t>
      </w:r>
      <w:r>
        <w:rPr>
          <w:rFonts w:hint="eastAsia" w:ascii="仿宋_GB2312" w:hAnsi="宋体" w:eastAsia="仿宋_GB2312"/>
          <w:sz w:val="32"/>
          <w:szCs w:val="32"/>
          <w:highlight w:val="none"/>
          <w:lang w:val="en-US" w:eastAsia="zh-CN"/>
        </w:rPr>
        <w:t>下降0.95</w:t>
      </w:r>
      <w:r>
        <w:rPr>
          <w:rFonts w:hint="eastAsia" w:ascii="仿宋_GB2312" w:hAnsi="宋体" w:eastAsia="仿宋_GB2312"/>
          <w:sz w:val="32"/>
          <w:szCs w:val="32"/>
          <w:highlight w:val="none"/>
        </w:rPr>
        <w:t>个百分点;其中:五级分类不良贷款余额</w:t>
      </w:r>
      <w:r>
        <w:rPr>
          <w:rFonts w:hint="eastAsia" w:ascii="仿宋_GB2312" w:hAnsi="宋体" w:eastAsia="仿宋_GB2312"/>
          <w:color w:val="000000" w:themeColor="text1"/>
          <w:sz w:val="32"/>
          <w:szCs w:val="32"/>
          <w:highlight w:val="none"/>
          <w:lang w:val="en-US" w:eastAsia="zh-CN"/>
        </w:rPr>
        <w:t>8306</w:t>
      </w:r>
      <w:r>
        <w:rPr>
          <w:rFonts w:hint="eastAsia" w:ascii="仿宋_GB2312" w:hAnsi="宋体" w:eastAsia="仿宋_GB2312"/>
          <w:color w:val="000000" w:themeColor="text1"/>
          <w:sz w:val="32"/>
          <w:szCs w:val="32"/>
          <w:highlight w:val="none"/>
        </w:rPr>
        <w:t>万元，比年初</w:t>
      </w:r>
      <w:r>
        <w:rPr>
          <w:rFonts w:hint="eastAsia" w:ascii="仿宋_GB2312" w:hAnsi="宋体" w:eastAsia="仿宋_GB2312"/>
          <w:color w:val="000000" w:themeColor="text1"/>
          <w:sz w:val="32"/>
          <w:szCs w:val="32"/>
          <w:highlight w:val="none"/>
          <w:lang w:val="en-US" w:eastAsia="zh-CN"/>
        </w:rPr>
        <w:t>下降1296</w:t>
      </w:r>
      <w:r>
        <w:rPr>
          <w:rFonts w:hint="eastAsia" w:ascii="仿宋_GB2312" w:hAnsi="宋体" w:eastAsia="仿宋_GB2312"/>
          <w:color w:val="000000" w:themeColor="text1"/>
          <w:sz w:val="32"/>
          <w:szCs w:val="32"/>
          <w:highlight w:val="none"/>
        </w:rPr>
        <w:t>万元，不良占比1.</w:t>
      </w:r>
      <w:r>
        <w:rPr>
          <w:rFonts w:hint="eastAsia" w:ascii="仿宋_GB2312" w:hAnsi="宋体" w:eastAsia="仿宋_GB2312"/>
          <w:color w:val="000000" w:themeColor="text1"/>
          <w:sz w:val="32"/>
          <w:szCs w:val="32"/>
          <w:highlight w:val="none"/>
          <w:lang w:val="en-US" w:eastAsia="zh-CN"/>
        </w:rPr>
        <w:t>66</w:t>
      </w:r>
      <w:r>
        <w:rPr>
          <w:rFonts w:hint="eastAsia" w:ascii="仿宋_GB2312" w:hAnsi="宋体" w:eastAsia="仿宋_GB2312"/>
          <w:color w:val="000000" w:themeColor="text1"/>
          <w:sz w:val="32"/>
          <w:szCs w:val="32"/>
          <w:highlight w:val="none"/>
        </w:rPr>
        <w:t>%，比年初</w:t>
      </w:r>
      <w:r>
        <w:rPr>
          <w:rFonts w:hint="eastAsia" w:ascii="仿宋_GB2312" w:hAnsi="宋体" w:eastAsia="仿宋_GB2312"/>
          <w:color w:val="000000" w:themeColor="text1"/>
          <w:sz w:val="32"/>
          <w:szCs w:val="32"/>
          <w:highlight w:val="none"/>
          <w:lang w:val="en-US" w:eastAsia="zh-CN"/>
        </w:rPr>
        <w:t>下降0.33</w:t>
      </w:r>
      <w:r>
        <w:rPr>
          <w:rFonts w:hint="eastAsia" w:ascii="仿宋_GB2312" w:hAnsi="宋体" w:eastAsia="仿宋_GB2312"/>
          <w:color w:val="000000" w:themeColor="text1"/>
          <w:sz w:val="32"/>
          <w:szCs w:val="32"/>
          <w:highlight w:val="none"/>
        </w:rPr>
        <w:t>个百分点。</w:t>
      </w:r>
      <w:r>
        <w:rPr>
          <w:rFonts w:hint="eastAsia" w:ascii="仿宋_GB2312" w:hAnsi="仿宋" w:eastAsia="仿宋_GB2312"/>
          <w:color w:val="000000" w:themeColor="text1"/>
          <w:sz w:val="32"/>
          <w:szCs w:val="32"/>
          <w:highlight w:val="none"/>
        </w:rPr>
        <w:t>其中：</w:t>
      </w:r>
      <w:r>
        <w:rPr>
          <w:rFonts w:hint="eastAsia" w:ascii="仿宋_GB2312" w:eastAsia="仿宋_GB2312"/>
          <w:color w:val="000000" w:themeColor="text1"/>
          <w:sz w:val="32"/>
          <w:szCs w:val="32"/>
          <w:highlight w:val="none"/>
        </w:rPr>
        <w:t>涉农贷款余额446454万元，占比</w:t>
      </w:r>
      <w:r>
        <w:rPr>
          <w:rFonts w:hint="eastAsia" w:ascii="仿宋_GB2312" w:eastAsia="仿宋_GB2312"/>
          <w:sz w:val="32"/>
          <w:szCs w:val="32"/>
          <w:highlight w:val="none"/>
        </w:rPr>
        <w:t>89.4</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%，比年初增加15669万元，增长</w:t>
      </w:r>
      <w:r>
        <w:rPr>
          <w:rFonts w:hint="eastAsia" w:ascii="仿宋_GB2312" w:eastAsia="仿宋_GB2312"/>
          <w:sz w:val="32"/>
          <w:szCs w:val="32"/>
          <w:highlight w:val="none"/>
          <w:lang w:val="en-US" w:eastAsia="zh-CN"/>
        </w:rPr>
        <w:t>3.64</w:t>
      </w:r>
      <w:r>
        <w:rPr>
          <w:rFonts w:hint="eastAsia" w:ascii="仿宋_GB2312" w:eastAsia="仿宋_GB2312"/>
          <w:sz w:val="32"/>
          <w:szCs w:val="32"/>
          <w:highlight w:val="none"/>
        </w:rPr>
        <w:t>％，实现涉农贷款余额比年初持续增长目标；普惠型小微企业贷款余额248236万元，比年初增加24981万元，增</w:t>
      </w:r>
      <w:r>
        <w:rPr>
          <w:rFonts w:hint="eastAsia" w:ascii="仿宋_GB2312" w:eastAsia="仿宋_GB2312"/>
          <w:sz w:val="32"/>
          <w:szCs w:val="32"/>
          <w:highlight w:val="none"/>
          <w:lang w:val="en-US" w:eastAsia="zh-CN"/>
        </w:rPr>
        <w:t>速11.19</w:t>
      </w:r>
      <w:r>
        <w:rPr>
          <w:rFonts w:hint="eastAsia" w:ascii="仿宋_GB2312" w:eastAsia="仿宋_GB2312"/>
          <w:sz w:val="32"/>
          <w:szCs w:val="32"/>
          <w:highlight w:val="none"/>
        </w:rPr>
        <w:t>%；户数6328户，比年初增加</w:t>
      </w:r>
      <w:r>
        <w:rPr>
          <w:rFonts w:hint="eastAsia" w:ascii="仿宋_GB2312" w:eastAsia="仿宋_GB2312"/>
          <w:sz w:val="32"/>
          <w:szCs w:val="32"/>
          <w:highlight w:val="none"/>
          <w:lang w:val="en-US" w:eastAsia="zh-CN"/>
        </w:rPr>
        <w:t>759</w:t>
      </w:r>
      <w:r>
        <w:rPr>
          <w:rFonts w:hint="eastAsia" w:ascii="仿宋_GB2312" w:eastAsia="仿宋_GB2312"/>
          <w:sz w:val="32"/>
          <w:szCs w:val="32"/>
          <w:highlight w:val="none"/>
        </w:rPr>
        <w:t>户，不良贷款余额2502万元，不良率</w:t>
      </w:r>
      <w:r>
        <w:rPr>
          <w:rFonts w:hint="eastAsia" w:ascii="仿宋_GB2312" w:eastAsia="仿宋_GB2312"/>
          <w:sz w:val="32"/>
          <w:szCs w:val="32"/>
          <w:highlight w:val="none"/>
          <w:lang w:val="en-US" w:eastAsia="zh-CN"/>
        </w:rPr>
        <w:t>1.01</w:t>
      </w:r>
      <w:r>
        <w:rPr>
          <w:rFonts w:hint="eastAsia" w:ascii="仿宋_GB2312" w:eastAsia="仿宋_GB2312"/>
          <w:sz w:val="32"/>
          <w:szCs w:val="32"/>
          <w:highlight w:val="none"/>
        </w:rPr>
        <w:t>%，实现普惠型小微企业“两增”目标任务。</w:t>
      </w:r>
      <w:r>
        <w:rPr>
          <w:rFonts w:hint="eastAsia" w:ascii="仿宋_GB2312" w:hAnsi="宋体" w:eastAsia="仿宋_GB2312"/>
          <w:sz w:val="32"/>
          <w:szCs w:val="32"/>
          <w:highlight w:val="none"/>
        </w:rPr>
        <w:t>扣除人行支农再贷款</w:t>
      </w:r>
      <w:r>
        <w:rPr>
          <w:rFonts w:hint="eastAsia" w:ascii="仿宋_GB2312" w:hAnsi="宋体" w:eastAsia="仿宋_GB2312"/>
          <w:sz w:val="32"/>
          <w:szCs w:val="32"/>
          <w:highlight w:val="none"/>
          <w:lang w:val="en-US" w:eastAsia="zh-CN"/>
        </w:rPr>
        <w:t>58115</w:t>
      </w:r>
      <w:r>
        <w:rPr>
          <w:rFonts w:hint="eastAsia" w:ascii="仿宋_GB2312" w:hAnsi="宋体" w:eastAsia="仿宋_GB2312"/>
          <w:sz w:val="32"/>
          <w:szCs w:val="32"/>
          <w:highlight w:val="none"/>
        </w:rPr>
        <w:t>万元，国家开发银行转贷款</w:t>
      </w:r>
      <w:r>
        <w:rPr>
          <w:rFonts w:hint="eastAsia" w:ascii="仿宋_GB2312" w:hAnsi="宋体" w:eastAsia="仿宋_GB2312"/>
          <w:sz w:val="32"/>
          <w:szCs w:val="32"/>
          <w:highlight w:val="none"/>
          <w:lang w:val="en-US" w:eastAsia="zh-CN"/>
        </w:rPr>
        <w:t>27000</w:t>
      </w:r>
      <w:r>
        <w:rPr>
          <w:rFonts w:hint="eastAsia" w:ascii="仿宋_GB2312" w:hAnsi="宋体" w:eastAsia="仿宋_GB2312"/>
          <w:sz w:val="32"/>
          <w:szCs w:val="32"/>
          <w:highlight w:val="none"/>
        </w:rPr>
        <w:t>万元，调整后存贷比例</w:t>
      </w:r>
      <w:r>
        <w:rPr>
          <w:rFonts w:hint="eastAsia" w:ascii="仿宋_GB2312" w:hAnsi="宋体" w:eastAsia="仿宋_GB2312"/>
          <w:sz w:val="32"/>
          <w:szCs w:val="32"/>
          <w:highlight w:val="none"/>
          <w:lang w:val="en-US" w:eastAsia="zh-CN"/>
        </w:rPr>
        <w:t>63.72</w:t>
      </w:r>
      <w:r>
        <w:rPr>
          <w:rFonts w:hint="eastAsia" w:ascii="仿宋_GB2312" w:hAnsi="宋体" w:eastAsia="仿宋_GB2312"/>
          <w:sz w:val="32"/>
          <w:szCs w:val="32"/>
          <w:highlight w:val="none"/>
        </w:rPr>
        <w:t>%。财务总收入43637万元，</w:t>
      </w:r>
      <w:r>
        <w:rPr>
          <w:rFonts w:hint="eastAsia" w:ascii="仿宋_GB2312" w:hAnsi="仿宋" w:eastAsia="仿宋_GB2312" w:cs="仿宋"/>
          <w:sz w:val="32"/>
          <w:szCs w:val="32"/>
          <w:highlight w:val="none"/>
        </w:rPr>
        <w:t>财务总支出37942万元，</w:t>
      </w:r>
      <w:r>
        <w:rPr>
          <w:rFonts w:hint="eastAsia" w:ascii="仿宋_GB2312" w:hAnsi="宋体" w:eastAsia="仿宋_GB2312"/>
          <w:sz w:val="32"/>
          <w:szCs w:val="32"/>
          <w:highlight w:val="none"/>
        </w:rPr>
        <w:t>实现账面净利润</w:t>
      </w:r>
      <w:r>
        <w:rPr>
          <w:rFonts w:hint="eastAsia" w:ascii="仿宋_GB2312" w:hAnsi="仿宋" w:eastAsia="仿宋_GB2312" w:cs="仿宋_GB2312"/>
          <w:sz w:val="32"/>
          <w:szCs w:val="32"/>
          <w:highlight w:val="none"/>
          <w:lang w:val="en-US" w:eastAsia="zh-CN"/>
        </w:rPr>
        <w:t>5695</w:t>
      </w:r>
      <w:r>
        <w:rPr>
          <w:rFonts w:hint="eastAsia" w:ascii="仿宋_GB2312" w:hAnsi="宋体" w:eastAsia="仿宋_GB2312"/>
          <w:sz w:val="32"/>
          <w:szCs w:val="32"/>
          <w:highlight w:val="none"/>
        </w:rPr>
        <w:t>万元，比上年同期减少</w:t>
      </w:r>
      <w:r>
        <w:rPr>
          <w:rFonts w:hint="eastAsia" w:ascii="仿宋_GB2312" w:hAnsi="宋体" w:eastAsia="仿宋_GB2312"/>
          <w:sz w:val="32"/>
          <w:szCs w:val="32"/>
          <w:highlight w:val="none"/>
          <w:lang w:val="en-US" w:eastAsia="zh-CN"/>
        </w:rPr>
        <w:t>1119</w:t>
      </w:r>
      <w:r>
        <w:rPr>
          <w:rFonts w:hint="eastAsia" w:ascii="仿宋_GB2312" w:hAnsi="宋体" w:eastAsia="仿宋_GB2312"/>
          <w:sz w:val="32"/>
          <w:szCs w:val="32"/>
          <w:highlight w:val="none"/>
        </w:rPr>
        <w:t>万元，降幅</w:t>
      </w:r>
      <w:r>
        <w:rPr>
          <w:rFonts w:hint="eastAsia" w:ascii="仿宋_GB2312" w:hAnsi="宋体" w:eastAsia="仿宋_GB2312"/>
          <w:sz w:val="32"/>
          <w:szCs w:val="32"/>
          <w:highlight w:val="none"/>
          <w:lang w:val="en-US" w:eastAsia="zh-CN"/>
        </w:rPr>
        <w:t>16.42</w:t>
      </w:r>
      <w:r>
        <w:rPr>
          <w:rFonts w:hint="eastAsia" w:ascii="仿宋_GB2312" w:hAnsi="宋体" w:eastAsia="仿宋_GB2312"/>
          <w:sz w:val="32"/>
          <w:szCs w:val="32"/>
          <w:highlight w:val="none"/>
        </w:rPr>
        <w:t>%。</w:t>
      </w:r>
      <w:r>
        <w:rPr>
          <w:rFonts w:hint="eastAsia" w:ascii="仿宋_GB2312" w:hAnsi="宋体" w:eastAsia="仿宋_GB2312"/>
          <w:sz w:val="32"/>
          <w:szCs w:val="32"/>
          <w:highlight w:val="none"/>
          <w:lang w:eastAsia="zh-CN"/>
        </w:rPr>
        <w:t>本社</w:t>
      </w:r>
      <w:r>
        <w:rPr>
          <w:rFonts w:hint="eastAsia" w:ascii="仿宋_GB2312" w:hAnsi="宋体" w:eastAsia="仿宋_GB2312"/>
          <w:sz w:val="32"/>
          <w:szCs w:val="32"/>
          <w:highlight w:val="none"/>
        </w:rPr>
        <w:t>单一贷款集中度</w:t>
      </w:r>
      <w:r>
        <w:rPr>
          <w:rFonts w:hint="eastAsia" w:ascii="仿宋_GB2312" w:hAnsi="宋体" w:eastAsia="仿宋_GB2312"/>
          <w:sz w:val="32"/>
          <w:szCs w:val="32"/>
          <w:highlight w:val="none"/>
          <w:lang w:val="en-US" w:eastAsia="zh-CN"/>
        </w:rPr>
        <w:t>0.79</w:t>
      </w:r>
      <w:r>
        <w:rPr>
          <w:rFonts w:hint="eastAsia" w:ascii="仿宋_GB2312" w:hAnsi="宋体" w:eastAsia="仿宋_GB2312"/>
          <w:sz w:val="32"/>
          <w:szCs w:val="32"/>
          <w:highlight w:val="none"/>
        </w:rPr>
        <w:t>%，最大十户贷款集中度</w:t>
      </w:r>
      <w:r>
        <w:rPr>
          <w:rFonts w:hint="eastAsia" w:ascii="仿宋_GB2312" w:hAnsi="宋体" w:eastAsia="仿宋_GB2312"/>
          <w:sz w:val="32"/>
          <w:szCs w:val="32"/>
          <w:highlight w:val="none"/>
          <w:lang w:val="en-US" w:eastAsia="zh-CN"/>
        </w:rPr>
        <w:t>7.89</w:t>
      </w:r>
      <w:r>
        <w:rPr>
          <w:rFonts w:hint="eastAsia" w:ascii="仿宋_GB2312" w:hAnsi="宋体" w:eastAsia="仿宋_GB2312"/>
          <w:sz w:val="32"/>
          <w:szCs w:val="32"/>
          <w:highlight w:val="none"/>
        </w:rPr>
        <w:t>%和关联度授信比例1.</w:t>
      </w:r>
      <w:r>
        <w:rPr>
          <w:rFonts w:hint="eastAsia" w:ascii="仿宋_GB2312" w:hAnsi="宋体" w:eastAsia="仿宋_GB2312"/>
          <w:sz w:val="32"/>
          <w:szCs w:val="32"/>
          <w:highlight w:val="none"/>
          <w:lang w:val="en-US" w:eastAsia="zh-CN"/>
        </w:rPr>
        <w:t>27</w:t>
      </w:r>
      <w:r>
        <w:rPr>
          <w:rFonts w:hint="eastAsia" w:ascii="仿宋_GB2312" w:hAnsi="宋体" w:eastAsia="仿宋_GB2312"/>
          <w:sz w:val="32"/>
          <w:szCs w:val="32"/>
          <w:highlight w:val="none"/>
        </w:rPr>
        <w:t>%均属正常，符合监管要求。</w:t>
      </w:r>
    </w:p>
    <w:p>
      <w:pPr>
        <w:widowControl/>
        <w:spacing w:line="520" w:lineRule="exact"/>
        <w:ind w:firstLine="803" w:firstLineChars="250"/>
        <w:jc w:val="left"/>
        <w:rPr>
          <w:rFonts w:ascii="楷体_GB2312" w:hAnsi="楷体" w:eastAsia="楷体_GB2312"/>
          <w:b/>
          <w:sz w:val="32"/>
          <w:szCs w:val="32"/>
          <w:highlight w:val="none"/>
        </w:rPr>
      </w:pPr>
      <w:r>
        <w:rPr>
          <w:rFonts w:hint="eastAsia" w:ascii="楷体_GB2312" w:hAnsi="楷体" w:eastAsia="楷体_GB2312"/>
          <w:b/>
          <w:sz w:val="32"/>
          <w:szCs w:val="32"/>
          <w:highlight w:val="none"/>
        </w:rPr>
        <w:t>(二)资产负债表分析</w:t>
      </w:r>
    </w:p>
    <w:p>
      <w:pPr>
        <w:widowControl/>
        <w:spacing w:line="520" w:lineRule="exact"/>
        <w:ind w:firstLine="800" w:firstLineChars="250"/>
        <w:jc w:val="both"/>
        <w:rPr>
          <w:rFonts w:ascii="仿宋_GB2312" w:hAnsi="仿宋" w:eastAsia="仿宋_GB2312"/>
          <w:sz w:val="32"/>
          <w:szCs w:val="32"/>
          <w:highlight w:val="none"/>
        </w:rPr>
      </w:pPr>
      <w:r>
        <w:rPr>
          <w:rFonts w:hint="eastAsia" w:ascii="仿宋_GB2312" w:hAnsi="仿宋" w:eastAsia="仿宋_GB2312"/>
          <w:sz w:val="32"/>
          <w:szCs w:val="32"/>
          <w:highlight w:val="none"/>
        </w:rPr>
        <w:t>至202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年12月末，</w:t>
      </w:r>
      <w:r>
        <w:rPr>
          <w:rFonts w:hint="eastAsia" w:ascii="仿宋_GB2312" w:hAnsi="Verdana" w:eastAsia="仿宋_GB2312"/>
          <w:sz w:val="32"/>
          <w:szCs w:val="32"/>
          <w:highlight w:val="none"/>
        </w:rPr>
        <w:t>各项资产总额</w:t>
      </w:r>
      <w:r>
        <w:rPr>
          <w:rFonts w:hint="eastAsia" w:ascii="仿宋_GB2312" w:hAnsi="仿宋" w:eastAsia="仿宋_GB2312" w:cs="仿宋"/>
          <w:sz w:val="32"/>
          <w:szCs w:val="32"/>
          <w:highlight w:val="none"/>
          <w:lang w:val="en-US" w:eastAsia="zh-CN"/>
        </w:rPr>
        <w:t>880150</w:t>
      </w:r>
      <w:r>
        <w:rPr>
          <w:rFonts w:hint="eastAsia" w:ascii="仿宋_GB2312" w:hAnsi="仿宋" w:eastAsia="仿宋_GB2312" w:cs="仿宋"/>
          <w:sz w:val="32"/>
          <w:szCs w:val="32"/>
          <w:highlight w:val="none"/>
        </w:rPr>
        <w:t>万元，比年初增加</w:t>
      </w:r>
      <w:r>
        <w:rPr>
          <w:rFonts w:hint="eastAsia" w:ascii="仿宋_GB2312" w:hAnsi="仿宋" w:eastAsia="仿宋_GB2312" w:cs="仿宋"/>
          <w:sz w:val="32"/>
          <w:szCs w:val="32"/>
          <w:highlight w:val="none"/>
          <w:lang w:val="en-US" w:eastAsia="zh-CN"/>
        </w:rPr>
        <w:t>22927</w:t>
      </w:r>
      <w:r>
        <w:rPr>
          <w:rFonts w:hint="eastAsia" w:ascii="仿宋_GB2312" w:hAnsi="仿宋" w:eastAsia="仿宋_GB2312" w:cs="仿宋"/>
          <w:sz w:val="32"/>
          <w:szCs w:val="32"/>
          <w:highlight w:val="none"/>
        </w:rPr>
        <w:t>万元，增幅</w:t>
      </w:r>
      <w:r>
        <w:rPr>
          <w:rFonts w:hint="eastAsia" w:ascii="仿宋_GB2312" w:hAnsi="仿宋" w:eastAsia="仿宋_GB2312" w:cs="仿宋"/>
          <w:sz w:val="32"/>
          <w:szCs w:val="32"/>
          <w:highlight w:val="none"/>
          <w:lang w:val="en-US" w:eastAsia="zh-CN"/>
        </w:rPr>
        <w:t>2.67</w:t>
      </w:r>
      <w:r>
        <w:rPr>
          <w:rFonts w:hint="eastAsia" w:ascii="仿宋_GB2312" w:hAnsi="仿宋" w:eastAsia="仿宋_GB2312" w:cs="仿宋"/>
          <w:sz w:val="32"/>
          <w:szCs w:val="32"/>
          <w:highlight w:val="none"/>
        </w:rPr>
        <w:t>%，其中：各项贷款余额</w:t>
      </w:r>
      <w:r>
        <w:rPr>
          <w:rFonts w:hint="eastAsia" w:ascii="仿宋_GB2312" w:hAnsi="仿宋" w:eastAsia="仿宋_GB2312" w:cs="仿宋"/>
          <w:sz w:val="32"/>
          <w:szCs w:val="32"/>
          <w:highlight w:val="none"/>
          <w:lang w:val="en-US" w:eastAsia="zh-CN"/>
        </w:rPr>
        <w:t>499093</w:t>
      </w:r>
      <w:r>
        <w:rPr>
          <w:rFonts w:hint="eastAsia" w:ascii="仿宋_GB2312" w:hAnsi="仿宋" w:eastAsia="仿宋_GB2312" w:cs="仿宋"/>
          <w:sz w:val="32"/>
          <w:szCs w:val="32"/>
          <w:highlight w:val="none"/>
        </w:rPr>
        <w:t>万元，比年初增加</w:t>
      </w:r>
      <w:r>
        <w:rPr>
          <w:rFonts w:hint="eastAsia" w:ascii="仿宋_GB2312" w:hAnsi="仿宋" w:eastAsia="仿宋_GB2312" w:cs="仿宋"/>
          <w:sz w:val="32"/>
          <w:szCs w:val="32"/>
          <w:highlight w:val="none"/>
          <w:lang w:val="en-US" w:eastAsia="zh-CN"/>
        </w:rPr>
        <w:t>17350</w:t>
      </w:r>
      <w:r>
        <w:rPr>
          <w:rFonts w:hint="eastAsia" w:ascii="仿宋_GB2312" w:hAnsi="仿宋" w:eastAsia="仿宋_GB2312" w:cs="仿宋"/>
          <w:sz w:val="32"/>
          <w:szCs w:val="32"/>
          <w:highlight w:val="none"/>
        </w:rPr>
        <w:t>万元，增幅为</w:t>
      </w:r>
      <w:r>
        <w:rPr>
          <w:rFonts w:hint="eastAsia" w:ascii="仿宋_GB2312" w:hAnsi="仿宋" w:eastAsia="仿宋_GB2312" w:cs="仿宋"/>
          <w:sz w:val="32"/>
          <w:szCs w:val="32"/>
          <w:highlight w:val="none"/>
          <w:lang w:val="en-US" w:eastAsia="zh-CN"/>
        </w:rPr>
        <w:t>3.60</w:t>
      </w:r>
      <w:r>
        <w:rPr>
          <w:rFonts w:hint="eastAsia" w:ascii="仿宋_GB2312" w:hAnsi="仿宋" w:eastAsia="仿宋_GB2312" w:cs="仿宋"/>
          <w:sz w:val="32"/>
          <w:szCs w:val="32"/>
          <w:highlight w:val="none"/>
        </w:rPr>
        <w:t>%</w:t>
      </w:r>
      <w:r>
        <w:rPr>
          <w:rFonts w:hint="eastAsia" w:ascii="仿宋_GB2312" w:hAnsi="Verdana" w:eastAsia="仿宋_GB2312"/>
          <w:sz w:val="32"/>
          <w:szCs w:val="32"/>
          <w:highlight w:val="none"/>
        </w:rPr>
        <w:t>；各项负债总额</w:t>
      </w:r>
      <w:r>
        <w:rPr>
          <w:rFonts w:hint="eastAsia" w:ascii="仿宋_GB2312" w:hAnsi="仿宋" w:eastAsia="仿宋_GB2312" w:cs="仿宋"/>
          <w:sz w:val="32"/>
          <w:szCs w:val="32"/>
          <w:highlight w:val="none"/>
          <w:lang w:val="en-US" w:eastAsia="zh-CN"/>
        </w:rPr>
        <w:t>782621</w:t>
      </w:r>
      <w:r>
        <w:rPr>
          <w:rFonts w:hint="eastAsia" w:ascii="仿宋_GB2312" w:hAnsi="仿宋" w:eastAsia="仿宋_GB2312" w:cs="仿宋"/>
          <w:sz w:val="32"/>
          <w:szCs w:val="32"/>
          <w:highlight w:val="none"/>
        </w:rPr>
        <w:t>万元，比年初增加</w:t>
      </w:r>
      <w:r>
        <w:rPr>
          <w:rFonts w:hint="eastAsia" w:ascii="仿宋_GB2312" w:hAnsi="仿宋" w:eastAsia="仿宋_GB2312" w:cs="仿宋"/>
          <w:sz w:val="32"/>
          <w:szCs w:val="32"/>
          <w:highlight w:val="none"/>
          <w:lang w:val="en-US" w:eastAsia="zh-CN"/>
        </w:rPr>
        <w:t>16880</w:t>
      </w:r>
      <w:r>
        <w:rPr>
          <w:rFonts w:hint="eastAsia" w:ascii="仿宋_GB2312" w:hAnsi="仿宋" w:eastAsia="仿宋_GB2312" w:cs="仿宋"/>
          <w:sz w:val="32"/>
          <w:szCs w:val="32"/>
          <w:highlight w:val="none"/>
        </w:rPr>
        <w:t>万元，增幅</w:t>
      </w:r>
      <w:r>
        <w:rPr>
          <w:rFonts w:hint="eastAsia" w:ascii="仿宋_GB2312" w:hAnsi="仿宋" w:eastAsia="仿宋_GB2312" w:cs="仿宋"/>
          <w:sz w:val="32"/>
          <w:szCs w:val="32"/>
          <w:highlight w:val="none"/>
          <w:lang w:val="en-US" w:eastAsia="zh-CN"/>
        </w:rPr>
        <w:t>2.20</w:t>
      </w:r>
      <w:r>
        <w:rPr>
          <w:rFonts w:hint="eastAsia" w:ascii="仿宋_GB2312" w:hAnsi="仿宋" w:eastAsia="仿宋_GB2312" w:cs="仿宋"/>
          <w:sz w:val="32"/>
          <w:szCs w:val="32"/>
          <w:highlight w:val="none"/>
        </w:rPr>
        <w:t>%，其中：各项存款余额</w:t>
      </w:r>
      <w:r>
        <w:rPr>
          <w:rFonts w:hint="eastAsia" w:ascii="仿宋_GB2312" w:hAnsi="仿宋" w:eastAsia="仿宋_GB2312" w:cs="仿宋"/>
          <w:sz w:val="32"/>
          <w:szCs w:val="32"/>
          <w:highlight w:val="none"/>
          <w:lang w:val="en-US" w:eastAsia="zh-CN"/>
        </w:rPr>
        <w:t>649713</w:t>
      </w:r>
      <w:r>
        <w:rPr>
          <w:rFonts w:hint="eastAsia" w:ascii="仿宋_GB2312" w:hAnsi="仿宋" w:eastAsia="仿宋_GB2312" w:cs="仿宋"/>
          <w:sz w:val="32"/>
          <w:szCs w:val="32"/>
          <w:highlight w:val="none"/>
        </w:rPr>
        <w:t>万元，比年初增加</w:t>
      </w:r>
      <w:r>
        <w:rPr>
          <w:rFonts w:hint="eastAsia" w:ascii="仿宋_GB2312" w:hAnsi="仿宋" w:eastAsia="仿宋_GB2312" w:cs="仿宋"/>
          <w:sz w:val="32"/>
          <w:szCs w:val="32"/>
          <w:highlight w:val="none"/>
          <w:lang w:val="en-US" w:eastAsia="zh-CN"/>
        </w:rPr>
        <w:t>27356</w:t>
      </w:r>
      <w:r>
        <w:rPr>
          <w:rFonts w:hint="eastAsia" w:ascii="仿宋_GB2312" w:hAnsi="仿宋" w:eastAsia="仿宋_GB2312" w:cs="仿宋"/>
          <w:sz w:val="32"/>
          <w:szCs w:val="32"/>
          <w:highlight w:val="none"/>
        </w:rPr>
        <w:t>万元，增幅为</w:t>
      </w:r>
      <w:r>
        <w:rPr>
          <w:rFonts w:hint="eastAsia" w:ascii="仿宋_GB2312" w:hAnsi="仿宋" w:eastAsia="仿宋_GB2312" w:cs="仿宋"/>
          <w:sz w:val="32"/>
          <w:szCs w:val="32"/>
          <w:highlight w:val="none"/>
          <w:lang w:val="en-US" w:eastAsia="zh-CN"/>
        </w:rPr>
        <w:t>4.40</w:t>
      </w:r>
      <w:r>
        <w:rPr>
          <w:rFonts w:hint="eastAsia" w:ascii="仿宋_GB2312" w:hAnsi="仿宋" w:eastAsia="仿宋_GB2312" w:cs="仿宋"/>
          <w:sz w:val="32"/>
          <w:szCs w:val="32"/>
          <w:highlight w:val="none"/>
        </w:rPr>
        <w:t>%；</w:t>
      </w:r>
      <w:r>
        <w:rPr>
          <w:rFonts w:hint="eastAsia" w:ascii="仿宋_GB2312" w:hAnsi="Verdana" w:eastAsia="仿宋_GB2312"/>
          <w:sz w:val="32"/>
          <w:szCs w:val="32"/>
          <w:highlight w:val="none"/>
        </w:rPr>
        <w:t>所有者权益为</w:t>
      </w:r>
      <w:r>
        <w:rPr>
          <w:rFonts w:hint="eastAsia" w:ascii="仿宋_GB2312" w:hAnsi="仿宋" w:eastAsia="仿宋_GB2312" w:cs="仿宋"/>
          <w:sz w:val="32"/>
          <w:szCs w:val="32"/>
          <w:highlight w:val="none"/>
          <w:lang w:val="en-US" w:eastAsia="zh-CN"/>
        </w:rPr>
        <w:t>97529</w:t>
      </w:r>
      <w:r>
        <w:rPr>
          <w:rFonts w:hint="eastAsia" w:ascii="仿宋_GB2312" w:hAnsi="仿宋" w:eastAsia="仿宋_GB2312" w:cs="仿宋"/>
          <w:sz w:val="32"/>
          <w:szCs w:val="32"/>
          <w:highlight w:val="none"/>
        </w:rPr>
        <w:t>万元，比年初增加</w:t>
      </w:r>
      <w:r>
        <w:rPr>
          <w:rFonts w:hint="eastAsia" w:ascii="仿宋_GB2312" w:hAnsi="仿宋" w:eastAsia="仿宋_GB2312" w:cs="仿宋"/>
          <w:sz w:val="32"/>
          <w:szCs w:val="32"/>
          <w:highlight w:val="none"/>
          <w:lang w:val="en-US" w:eastAsia="zh-CN"/>
        </w:rPr>
        <w:t>6047</w:t>
      </w:r>
      <w:r>
        <w:rPr>
          <w:rFonts w:hint="eastAsia" w:ascii="仿宋_GB2312" w:hAnsi="仿宋" w:eastAsia="仿宋_GB2312" w:cs="仿宋"/>
          <w:sz w:val="32"/>
          <w:szCs w:val="32"/>
          <w:highlight w:val="none"/>
        </w:rPr>
        <w:t>万元，增幅</w:t>
      </w:r>
      <w:r>
        <w:rPr>
          <w:rFonts w:hint="eastAsia" w:ascii="仿宋_GB2312" w:hAnsi="仿宋" w:eastAsia="仿宋_GB2312" w:cs="仿宋"/>
          <w:sz w:val="32"/>
          <w:szCs w:val="32"/>
          <w:highlight w:val="none"/>
          <w:lang w:val="en-US" w:eastAsia="zh-CN"/>
        </w:rPr>
        <w:t>6.61</w:t>
      </w:r>
      <w:r>
        <w:rPr>
          <w:rFonts w:hint="eastAsia" w:ascii="仿宋_GB2312" w:hAnsi="仿宋" w:eastAsia="仿宋_GB2312" w:cs="仿宋"/>
          <w:sz w:val="32"/>
          <w:szCs w:val="32"/>
          <w:highlight w:val="none"/>
        </w:rPr>
        <w:t>%</w:t>
      </w:r>
      <w:r>
        <w:rPr>
          <w:rFonts w:hint="eastAsia" w:ascii="仿宋_GB2312" w:hAnsi="Verdana" w:eastAsia="仿宋_GB2312"/>
          <w:sz w:val="32"/>
          <w:szCs w:val="32"/>
          <w:highlight w:val="none"/>
        </w:rPr>
        <w:t>。</w:t>
      </w:r>
    </w:p>
    <w:p>
      <w:pPr>
        <w:spacing w:line="520" w:lineRule="exact"/>
        <w:ind w:firstLine="600"/>
        <w:rPr>
          <w:rFonts w:ascii="楷体_GB2312" w:hAnsi="楷体" w:eastAsia="楷体_GB2312"/>
          <w:b/>
          <w:sz w:val="32"/>
          <w:szCs w:val="32"/>
          <w:highlight w:val="none"/>
        </w:rPr>
      </w:pPr>
      <w:r>
        <w:rPr>
          <w:rFonts w:hint="eastAsia" w:ascii="楷体_GB2312" w:hAnsi="楷体" w:eastAsia="楷体_GB2312"/>
          <w:b/>
          <w:sz w:val="32"/>
          <w:szCs w:val="32"/>
          <w:highlight w:val="none"/>
        </w:rPr>
        <w:t>(三)利润表分析</w:t>
      </w:r>
    </w:p>
    <w:p>
      <w:pPr>
        <w:spacing w:line="520" w:lineRule="exact"/>
        <w:ind w:firstLine="640" w:firstLineChars="200"/>
        <w:rPr>
          <w:rFonts w:hint="eastAsia" w:ascii="仿宋_GB2312" w:hAnsi="仿宋" w:eastAsia="仿宋_GB2312" w:cs="仿宋"/>
          <w:sz w:val="32"/>
          <w:szCs w:val="32"/>
          <w:highlight w:val="none"/>
          <w:lang w:eastAsia="zh-CN"/>
        </w:rPr>
      </w:pPr>
      <w:r>
        <w:rPr>
          <w:rFonts w:hint="eastAsia" w:ascii="仿宋_GB2312" w:hAnsi="仿宋" w:eastAsia="仿宋_GB2312"/>
          <w:sz w:val="32"/>
          <w:szCs w:val="32"/>
          <w:highlight w:val="none"/>
        </w:rPr>
        <w:t>至202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 xml:space="preserve">年12月末, </w:t>
      </w:r>
      <w:r>
        <w:rPr>
          <w:rFonts w:hint="eastAsia" w:ascii="仿宋_GB2312" w:hAnsi="仿宋" w:eastAsia="仿宋_GB2312" w:cs="仿宋_GB2312"/>
          <w:sz w:val="32"/>
          <w:szCs w:val="32"/>
          <w:highlight w:val="none"/>
        </w:rPr>
        <w:t>实现利润总额</w:t>
      </w:r>
      <w:r>
        <w:rPr>
          <w:rFonts w:hint="eastAsia" w:ascii="仿宋_GB2312" w:hAnsi="仿宋" w:eastAsia="仿宋_GB2312" w:cs="仿宋_GB2312"/>
          <w:sz w:val="32"/>
          <w:szCs w:val="32"/>
          <w:highlight w:val="none"/>
          <w:lang w:val="en-US" w:eastAsia="zh-CN"/>
        </w:rPr>
        <w:t>8160</w:t>
      </w:r>
      <w:r>
        <w:rPr>
          <w:rFonts w:hint="eastAsia" w:ascii="仿宋_GB2312" w:hAnsi="仿宋" w:eastAsia="仿宋_GB2312" w:cs="仿宋_GB2312"/>
          <w:sz w:val="32"/>
          <w:szCs w:val="32"/>
          <w:highlight w:val="none"/>
        </w:rPr>
        <w:t>万元，同比减少</w:t>
      </w:r>
      <w:r>
        <w:rPr>
          <w:rFonts w:hint="eastAsia" w:ascii="仿宋_GB2312" w:hAnsi="仿宋" w:eastAsia="仿宋_GB2312" w:cs="仿宋_GB2312"/>
          <w:sz w:val="32"/>
          <w:szCs w:val="32"/>
          <w:highlight w:val="none"/>
          <w:lang w:val="en-US" w:eastAsia="zh-CN"/>
        </w:rPr>
        <w:t>1229</w:t>
      </w:r>
      <w:r>
        <w:rPr>
          <w:rFonts w:hint="eastAsia" w:ascii="仿宋_GB2312" w:hAnsi="仿宋" w:eastAsia="仿宋_GB2312" w:cs="仿宋_GB2312"/>
          <w:sz w:val="32"/>
          <w:szCs w:val="32"/>
          <w:highlight w:val="none"/>
        </w:rPr>
        <w:t>万元，降幅</w:t>
      </w:r>
      <w:r>
        <w:rPr>
          <w:rFonts w:hint="eastAsia" w:ascii="仿宋_GB2312" w:hAnsi="仿宋" w:eastAsia="仿宋_GB2312" w:cs="仿宋_GB2312"/>
          <w:sz w:val="32"/>
          <w:szCs w:val="32"/>
          <w:highlight w:val="none"/>
          <w:lang w:val="en-US" w:eastAsia="zh-CN"/>
        </w:rPr>
        <w:t>13.09</w:t>
      </w:r>
      <w:r>
        <w:rPr>
          <w:rFonts w:hint="eastAsia" w:ascii="仿宋_GB2312" w:hAnsi="仿宋" w:eastAsia="仿宋_GB2312" w:cs="仿宋_GB2312"/>
          <w:sz w:val="32"/>
          <w:szCs w:val="32"/>
          <w:highlight w:val="none"/>
        </w:rPr>
        <w:t>%</w:t>
      </w:r>
      <w:r>
        <w:rPr>
          <w:rFonts w:hint="eastAsia" w:ascii="仿宋_GB2312" w:hAnsi="仿宋" w:eastAsia="仿宋_GB2312" w:cs="仿宋_GB2312"/>
          <w:sz w:val="32"/>
          <w:szCs w:val="32"/>
          <w:highlight w:val="none"/>
          <w:lang w:eastAsia="zh-CN"/>
        </w:rPr>
        <w:t>；</w:t>
      </w:r>
      <w:r>
        <w:rPr>
          <w:rFonts w:hint="eastAsia" w:ascii="仿宋_GB2312" w:hAnsi="仿宋" w:eastAsia="仿宋_GB2312" w:cs="仿宋_GB2312"/>
          <w:sz w:val="32"/>
          <w:szCs w:val="32"/>
          <w:highlight w:val="none"/>
        </w:rPr>
        <w:t>实现净利润</w:t>
      </w:r>
      <w:r>
        <w:rPr>
          <w:rFonts w:hint="eastAsia" w:ascii="仿宋_GB2312" w:hAnsi="仿宋" w:eastAsia="仿宋_GB2312" w:cs="仿宋_GB2312"/>
          <w:sz w:val="32"/>
          <w:szCs w:val="32"/>
          <w:highlight w:val="none"/>
          <w:lang w:val="en-US" w:eastAsia="zh-CN"/>
        </w:rPr>
        <w:t>5695</w:t>
      </w:r>
      <w:r>
        <w:rPr>
          <w:rFonts w:hint="eastAsia" w:ascii="仿宋_GB2312" w:hAnsi="仿宋" w:eastAsia="仿宋_GB2312" w:cs="仿宋_GB2312"/>
          <w:sz w:val="32"/>
          <w:szCs w:val="32"/>
          <w:highlight w:val="none"/>
        </w:rPr>
        <w:t>万元，同比减少</w:t>
      </w:r>
      <w:r>
        <w:rPr>
          <w:rFonts w:hint="eastAsia" w:ascii="仿宋_GB2312" w:hAnsi="仿宋" w:eastAsia="仿宋_GB2312" w:cs="仿宋_GB2312"/>
          <w:sz w:val="32"/>
          <w:szCs w:val="32"/>
          <w:highlight w:val="none"/>
          <w:lang w:val="en-US" w:eastAsia="zh-CN"/>
        </w:rPr>
        <w:t>1119</w:t>
      </w:r>
      <w:r>
        <w:rPr>
          <w:rFonts w:hint="eastAsia" w:ascii="仿宋_GB2312" w:hAnsi="仿宋" w:eastAsia="仿宋_GB2312" w:cs="仿宋_GB2312"/>
          <w:sz w:val="32"/>
          <w:szCs w:val="32"/>
          <w:highlight w:val="none"/>
        </w:rPr>
        <w:t>万元，降幅</w:t>
      </w:r>
      <w:r>
        <w:rPr>
          <w:rFonts w:hint="eastAsia" w:ascii="仿宋_GB2312" w:hAnsi="仿宋" w:eastAsia="仿宋_GB2312" w:cs="仿宋_GB2312"/>
          <w:sz w:val="32"/>
          <w:szCs w:val="32"/>
          <w:highlight w:val="none"/>
          <w:lang w:val="en-US" w:eastAsia="zh-CN"/>
        </w:rPr>
        <w:t>16.42</w:t>
      </w:r>
      <w:r>
        <w:rPr>
          <w:rFonts w:hint="eastAsia" w:ascii="仿宋_GB2312" w:hAnsi="仿宋" w:eastAsia="仿宋_GB2312" w:cs="仿宋_GB2312"/>
          <w:sz w:val="32"/>
          <w:szCs w:val="32"/>
          <w:highlight w:val="none"/>
        </w:rPr>
        <w:t>%。</w:t>
      </w:r>
    </w:p>
    <w:p>
      <w:pPr>
        <w:spacing w:line="520" w:lineRule="exact"/>
        <w:ind w:firstLine="472" w:firstLineChars="147"/>
        <w:rPr>
          <w:rFonts w:ascii="楷体_GB2312" w:hAnsi="楷体" w:eastAsia="楷体_GB2312"/>
          <w:b/>
          <w:sz w:val="32"/>
          <w:szCs w:val="32"/>
          <w:highlight w:val="none"/>
        </w:rPr>
      </w:pPr>
      <w:r>
        <w:rPr>
          <w:rFonts w:hint="eastAsia" w:ascii="楷体_GB2312" w:hAnsi="楷体" w:eastAsia="楷体_GB2312"/>
          <w:b/>
          <w:sz w:val="32"/>
          <w:szCs w:val="32"/>
          <w:highlight w:val="none"/>
        </w:rPr>
        <w:t xml:space="preserve"> (四)贷款质量分析</w:t>
      </w:r>
    </w:p>
    <w:p>
      <w:pPr>
        <w:spacing w:line="520" w:lineRule="exact"/>
        <w:ind w:firstLine="600"/>
        <w:rPr>
          <w:rFonts w:ascii="仿宋_GB2312" w:hAnsi="仿宋" w:eastAsia="仿宋_GB2312"/>
          <w:color w:val="000000" w:themeColor="text1"/>
          <w:sz w:val="32"/>
          <w:szCs w:val="32"/>
          <w:highlight w:val="none"/>
        </w:rPr>
      </w:pPr>
      <w:r>
        <w:rPr>
          <w:rFonts w:hint="eastAsia" w:ascii="仿宋_GB2312" w:hAnsi="宋体" w:eastAsia="仿宋_GB2312"/>
          <w:sz w:val="32"/>
          <w:szCs w:val="32"/>
          <w:highlight w:val="none"/>
        </w:rPr>
        <w:t>至202</w:t>
      </w:r>
      <w:r>
        <w:rPr>
          <w:rFonts w:hint="eastAsia" w:ascii="仿宋_GB2312" w:hAnsi="宋体" w:eastAsia="仿宋_GB2312"/>
          <w:sz w:val="32"/>
          <w:szCs w:val="32"/>
          <w:highlight w:val="none"/>
          <w:lang w:val="en-US" w:eastAsia="zh-CN"/>
        </w:rPr>
        <w:t>4</w:t>
      </w:r>
      <w:r>
        <w:rPr>
          <w:rFonts w:hint="eastAsia" w:ascii="仿宋_GB2312" w:hAnsi="宋体" w:eastAsia="仿宋_GB2312"/>
          <w:sz w:val="32"/>
          <w:szCs w:val="32"/>
          <w:highlight w:val="none"/>
        </w:rPr>
        <w:t>年12月末，各项贷款余额</w:t>
      </w:r>
      <w:r>
        <w:rPr>
          <w:rFonts w:hint="eastAsia" w:ascii="仿宋_GB2312" w:hAnsi="仿宋" w:eastAsia="仿宋_GB2312" w:cs="Arial"/>
          <w:kern w:val="0"/>
          <w:sz w:val="32"/>
          <w:szCs w:val="32"/>
          <w:highlight w:val="none"/>
          <w:lang w:val="en-US" w:eastAsia="zh-CN"/>
        </w:rPr>
        <w:t>499093</w:t>
      </w:r>
      <w:r>
        <w:rPr>
          <w:rFonts w:hint="eastAsia" w:ascii="仿宋_GB2312" w:hAnsi="宋体" w:eastAsia="仿宋_GB2312"/>
          <w:sz w:val="32"/>
          <w:szCs w:val="32"/>
          <w:highlight w:val="none"/>
        </w:rPr>
        <w:t>万元，比上年增长</w:t>
      </w:r>
      <w:r>
        <w:rPr>
          <w:rFonts w:hint="eastAsia" w:ascii="仿宋_GB2312" w:hAnsi="仿宋" w:eastAsia="仿宋_GB2312" w:cs="Arial"/>
          <w:kern w:val="0"/>
          <w:sz w:val="32"/>
          <w:szCs w:val="32"/>
          <w:highlight w:val="none"/>
          <w:lang w:val="en-US" w:eastAsia="zh-CN"/>
        </w:rPr>
        <w:t>3.60</w:t>
      </w:r>
      <w:r>
        <w:rPr>
          <w:rFonts w:hint="eastAsia" w:ascii="仿宋_GB2312" w:hAnsi="仿宋" w:eastAsia="仿宋_GB2312" w:cs="Arial"/>
          <w:kern w:val="0"/>
          <w:sz w:val="32"/>
          <w:szCs w:val="32"/>
          <w:highlight w:val="none"/>
        </w:rPr>
        <w:t>%</w:t>
      </w:r>
      <w:r>
        <w:rPr>
          <w:rFonts w:hint="eastAsia" w:ascii="仿宋_GB2312" w:hAnsi="宋体" w:eastAsia="仿宋_GB2312"/>
          <w:sz w:val="32"/>
          <w:szCs w:val="32"/>
          <w:highlight w:val="none"/>
        </w:rPr>
        <w:t>；不良贷款余额</w:t>
      </w:r>
      <w:r>
        <w:rPr>
          <w:rFonts w:hint="eastAsia" w:ascii="仿宋_GB2312" w:hAnsi="宋体" w:eastAsia="仿宋_GB2312" w:cs="宋体"/>
          <w:color w:val="000000" w:themeColor="text1"/>
          <w:kern w:val="0"/>
          <w:sz w:val="32"/>
          <w:szCs w:val="32"/>
          <w:highlight w:val="none"/>
          <w:lang w:val="en-US" w:eastAsia="zh-CN"/>
        </w:rPr>
        <w:t>8306</w:t>
      </w:r>
      <w:r>
        <w:rPr>
          <w:rFonts w:hint="eastAsia" w:ascii="仿宋_GB2312" w:hAnsi="宋体" w:eastAsia="仿宋_GB2312"/>
          <w:color w:val="000000" w:themeColor="text1"/>
          <w:sz w:val="32"/>
          <w:szCs w:val="32"/>
          <w:highlight w:val="none"/>
        </w:rPr>
        <w:t>万元，比年初</w:t>
      </w:r>
      <w:r>
        <w:rPr>
          <w:rFonts w:hint="eastAsia" w:ascii="仿宋_GB2312" w:eastAsia="仿宋_GB2312"/>
          <w:color w:val="000000" w:themeColor="text1"/>
          <w:sz w:val="32"/>
          <w:szCs w:val="32"/>
          <w:highlight w:val="none"/>
          <w:lang w:val="en-US" w:eastAsia="zh-CN"/>
        </w:rPr>
        <w:t>减少1296</w:t>
      </w:r>
      <w:r>
        <w:rPr>
          <w:rFonts w:hint="eastAsia" w:ascii="仿宋_GB2312" w:hAnsi="宋体" w:eastAsia="仿宋_GB2312"/>
          <w:color w:val="000000" w:themeColor="text1"/>
          <w:sz w:val="32"/>
          <w:szCs w:val="32"/>
          <w:highlight w:val="none"/>
        </w:rPr>
        <w:t>万元，不良占比1</w:t>
      </w:r>
      <w:r>
        <w:rPr>
          <w:rFonts w:hint="eastAsia" w:ascii="仿宋_GB2312" w:hAnsi="宋体" w:eastAsia="仿宋_GB2312"/>
          <w:color w:val="000000" w:themeColor="text1"/>
          <w:sz w:val="32"/>
          <w:szCs w:val="32"/>
          <w:highlight w:val="none"/>
          <w:lang w:val="en-US" w:eastAsia="zh-CN"/>
        </w:rPr>
        <w:t>.66</w:t>
      </w:r>
      <w:r>
        <w:rPr>
          <w:rFonts w:hint="eastAsia" w:ascii="仿宋_GB2312" w:hAnsi="宋体" w:eastAsia="仿宋_GB2312"/>
          <w:color w:val="000000" w:themeColor="text1"/>
          <w:sz w:val="32"/>
          <w:szCs w:val="32"/>
          <w:highlight w:val="none"/>
        </w:rPr>
        <w:t>%，比年初</w:t>
      </w:r>
      <w:r>
        <w:rPr>
          <w:rFonts w:hint="eastAsia" w:ascii="仿宋_GB2312" w:eastAsia="仿宋_GB2312"/>
          <w:color w:val="000000" w:themeColor="text1"/>
          <w:sz w:val="32"/>
          <w:szCs w:val="32"/>
          <w:highlight w:val="none"/>
          <w:lang w:val="en-US" w:eastAsia="zh-CN"/>
        </w:rPr>
        <w:t>减少0.33</w:t>
      </w:r>
      <w:r>
        <w:rPr>
          <w:rFonts w:hint="eastAsia" w:ascii="仿宋_GB2312" w:hAnsi="宋体" w:eastAsia="仿宋_GB2312"/>
          <w:color w:val="000000" w:themeColor="text1"/>
          <w:sz w:val="32"/>
          <w:szCs w:val="32"/>
          <w:highlight w:val="none"/>
        </w:rPr>
        <w:t>个百分点</w:t>
      </w:r>
      <w:r>
        <w:rPr>
          <w:rFonts w:hint="eastAsia" w:ascii="仿宋_GB2312" w:hAnsi="宋体" w:eastAsia="仿宋_GB2312"/>
          <w:color w:val="000000" w:themeColor="text1"/>
          <w:sz w:val="32"/>
          <w:szCs w:val="32"/>
          <w:highlight w:val="none"/>
          <w:lang w:eastAsia="zh-CN"/>
        </w:rPr>
        <w:t>，</w:t>
      </w:r>
      <w:r>
        <w:rPr>
          <w:rFonts w:hint="eastAsia" w:ascii="仿宋_GB2312" w:hAnsi="宋体" w:eastAsia="仿宋_GB2312"/>
          <w:color w:val="000000" w:themeColor="text1"/>
          <w:sz w:val="32"/>
          <w:szCs w:val="32"/>
          <w:highlight w:val="none"/>
        </w:rPr>
        <w:t>其中：次级贷款余额</w:t>
      </w:r>
      <w:r>
        <w:rPr>
          <w:rFonts w:hint="eastAsia" w:ascii="仿宋_GB2312" w:hAnsi="宋体" w:eastAsia="仿宋_GB2312"/>
          <w:color w:val="000000" w:themeColor="text1"/>
          <w:sz w:val="32"/>
          <w:szCs w:val="32"/>
          <w:highlight w:val="none"/>
          <w:lang w:val="en-US" w:eastAsia="zh-CN"/>
        </w:rPr>
        <w:t>7308</w:t>
      </w:r>
      <w:r>
        <w:rPr>
          <w:rFonts w:hint="eastAsia" w:ascii="仿宋_GB2312" w:hAnsi="宋体" w:eastAsia="仿宋_GB2312"/>
          <w:color w:val="000000" w:themeColor="text1"/>
          <w:sz w:val="32"/>
          <w:szCs w:val="32"/>
          <w:highlight w:val="none"/>
        </w:rPr>
        <w:t>万元，比年初</w:t>
      </w:r>
      <w:r>
        <w:rPr>
          <w:rFonts w:hint="eastAsia" w:ascii="仿宋_GB2312" w:hAnsi="宋体" w:eastAsia="仿宋_GB2312"/>
          <w:color w:val="000000" w:themeColor="text1"/>
          <w:sz w:val="32"/>
          <w:szCs w:val="32"/>
          <w:highlight w:val="none"/>
          <w:lang w:val="en-US" w:eastAsia="zh-CN"/>
        </w:rPr>
        <w:t>减少353</w:t>
      </w:r>
      <w:r>
        <w:rPr>
          <w:rFonts w:hint="eastAsia" w:ascii="仿宋_GB2312" w:hAnsi="宋体" w:eastAsia="仿宋_GB2312"/>
          <w:color w:val="000000" w:themeColor="text1"/>
          <w:sz w:val="32"/>
          <w:szCs w:val="32"/>
          <w:highlight w:val="none"/>
        </w:rPr>
        <w:t>万元，占比</w:t>
      </w:r>
      <w:r>
        <w:rPr>
          <w:rFonts w:ascii="仿宋_GB2312" w:hAnsi="宋体" w:eastAsia="仿宋_GB2312"/>
          <w:color w:val="000000" w:themeColor="text1"/>
          <w:sz w:val="32"/>
          <w:szCs w:val="32"/>
          <w:highlight w:val="none"/>
        </w:rPr>
        <w:t>1.</w:t>
      </w:r>
      <w:r>
        <w:rPr>
          <w:rFonts w:hint="eastAsia" w:ascii="仿宋_GB2312" w:hAnsi="宋体" w:eastAsia="仿宋_GB2312"/>
          <w:color w:val="000000" w:themeColor="text1"/>
          <w:sz w:val="32"/>
          <w:szCs w:val="32"/>
          <w:highlight w:val="none"/>
          <w:lang w:val="en-US" w:eastAsia="zh-CN"/>
        </w:rPr>
        <w:t>46</w:t>
      </w:r>
      <w:r>
        <w:rPr>
          <w:rFonts w:hint="eastAsia" w:ascii="仿宋_GB2312" w:hAnsi="宋体" w:eastAsia="仿宋_GB2312"/>
          <w:color w:val="000000" w:themeColor="text1"/>
          <w:sz w:val="32"/>
          <w:szCs w:val="32"/>
          <w:highlight w:val="none"/>
        </w:rPr>
        <w:t>%，可疑贷款余额</w:t>
      </w:r>
      <w:r>
        <w:rPr>
          <w:rFonts w:hint="eastAsia" w:ascii="仿宋_GB2312" w:hAnsi="宋体" w:eastAsia="仿宋_GB2312"/>
          <w:color w:val="000000" w:themeColor="text1"/>
          <w:sz w:val="32"/>
          <w:szCs w:val="32"/>
          <w:highlight w:val="none"/>
          <w:lang w:val="en-US" w:eastAsia="zh-CN"/>
        </w:rPr>
        <w:t>848</w:t>
      </w:r>
      <w:r>
        <w:rPr>
          <w:rFonts w:hint="eastAsia" w:ascii="仿宋_GB2312" w:hAnsi="宋体" w:eastAsia="仿宋_GB2312"/>
          <w:color w:val="000000" w:themeColor="text1"/>
          <w:sz w:val="32"/>
          <w:szCs w:val="32"/>
          <w:highlight w:val="none"/>
        </w:rPr>
        <w:t>万元，比年初减少</w:t>
      </w:r>
      <w:r>
        <w:rPr>
          <w:rFonts w:hint="eastAsia" w:ascii="仿宋_GB2312" w:hAnsi="宋体" w:eastAsia="仿宋_GB2312"/>
          <w:color w:val="000000" w:themeColor="text1"/>
          <w:sz w:val="32"/>
          <w:szCs w:val="32"/>
          <w:highlight w:val="none"/>
          <w:lang w:val="en-US" w:eastAsia="zh-CN"/>
        </w:rPr>
        <w:t>624</w:t>
      </w:r>
      <w:r>
        <w:rPr>
          <w:rFonts w:hint="eastAsia" w:ascii="仿宋_GB2312" w:hAnsi="宋体" w:eastAsia="仿宋_GB2312"/>
          <w:color w:val="000000" w:themeColor="text1"/>
          <w:sz w:val="32"/>
          <w:szCs w:val="32"/>
          <w:highlight w:val="none"/>
        </w:rPr>
        <w:t>万元，占比0.</w:t>
      </w:r>
      <w:r>
        <w:rPr>
          <w:rFonts w:hint="eastAsia" w:ascii="仿宋_GB2312" w:hAnsi="宋体" w:eastAsia="仿宋_GB2312"/>
          <w:color w:val="000000" w:themeColor="text1"/>
          <w:sz w:val="32"/>
          <w:szCs w:val="32"/>
          <w:highlight w:val="none"/>
          <w:lang w:val="en-US" w:eastAsia="zh-CN"/>
        </w:rPr>
        <w:t>17</w:t>
      </w:r>
      <w:r>
        <w:rPr>
          <w:rFonts w:hint="eastAsia" w:ascii="仿宋_GB2312" w:hAnsi="宋体" w:eastAsia="仿宋_GB2312"/>
          <w:color w:val="000000" w:themeColor="text1"/>
          <w:sz w:val="32"/>
          <w:szCs w:val="32"/>
          <w:highlight w:val="none"/>
        </w:rPr>
        <w:t>%，损失类贷款</w:t>
      </w:r>
      <w:r>
        <w:rPr>
          <w:rFonts w:hint="eastAsia" w:ascii="仿宋_GB2312" w:hAnsi="宋体" w:eastAsia="仿宋_GB2312"/>
          <w:color w:val="000000" w:themeColor="text1"/>
          <w:sz w:val="32"/>
          <w:szCs w:val="32"/>
          <w:highlight w:val="none"/>
          <w:lang w:val="en-US" w:eastAsia="zh-CN"/>
        </w:rPr>
        <w:t>150</w:t>
      </w:r>
      <w:r>
        <w:rPr>
          <w:rFonts w:hint="eastAsia" w:ascii="仿宋_GB2312" w:hAnsi="宋体" w:eastAsia="仿宋_GB2312"/>
          <w:color w:val="000000" w:themeColor="text1"/>
          <w:sz w:val="32"/>
          <w:szCs w:val="32"/>
          <w:highlight w:val="none"/>
        </w:rPr>
        <w:t>万元，比年初减少</w:t>
      </w:r>
      <w:r>
        <w:rPr>
          <w:rFonts w:hint="eastAsia" w:ascii="仿宋_GB2312" w:hAnsi="宋体" w:eastAsia="仿宋_GB2312"/>
          <w:color w:val="000000" w:themeColor="text1"/>
          <w:sz w:val="32"/>
          <w:szCs w:val="32"/>
          <w:highlight w:val="none"/>
          <w:lang w:val="en-US" w:eastAsia="zh-CN"/>
        </w:rPr>
        <w:t>319</w:t>
      </w:r>
      <w:r>
        <w:rPr>
          <w:rFonts w:hint="eastAsia" w:ascii="仿宋_GB2312" w:hAnsi="宋体" w:eastAsia="仿宋_GB2312"/>
          <w:color w:val="000000" w:themeColor="text1"/>
          <w:sz w:val="32"/>
          <w:szCs w:val="32"/>
          <w:highlight w:val="none"/>
        </w:rPr>
        <w:t>万元，占比0.</w:t>
      </w:r>
      <w:r>
        <w:rPr>
          <w:rFonts w:ascii="仿宋_GB2312" w:hAnsi="宋体" w:eastAsia="仿宋_GB2312"/>
          <w:color w:val="000000" w:themeColor="text1"/>
          <w:sz w:val="32"/>
          <w:szCs w:val="32"/>
          <w:highlight w:val="none"/>
        </w:rPr>
        <w:t>0</w:t>
      </w:r>
      <w:r>
        <w:rPr>
          <w:rFonts w:hint="eastAsia" w:ascii="仿宋_GB2312" w:hAnsi="宋体" w:eastAsia="仿宋_GB2312"/>
          <w:color w:val="000000" w:themeColor="text1"/>
          <w:sz w:val="32"/>
          <w:szCs w:val="32"/>
          <w:highlight w:val="none"/>
          <w:lang w:val="en-US" w:eastAsia="zh-CN"/>
        </w:rPr>
        <w:t>3</w:t>
      </w:r>
      <w:r>
        <w:rPr>
          <w:rFonts w:hint="eastAsia" w:ascii="仿宋_GB2312" w:hAnsi="宋体" w:eastAsia="仿宋_GB2312"/>
          <w:color w:val="000000" w:themeColor="text1"/>
          <w:sz w:val="32"/>
          <w:szCs w:val="32"/>
          <w:highlight w:val="none"/>
        </w:rPr>
        <w:t>%。</w:t>
      </w:r>
    </w:p>
    <w:p>
      <w:pPr>
        <w:spacing w:line="520" w:lineRule="exact"/>
        <w:ind w:firstLine="640" w:firstLineChars="200"/>
        <w:rPr>
          <w:rFonts w:ascii="仿宋_GB2312" w:hAnsi="仿宋" w:eastAsia="仿宋_GB2312"/>
          <w:color w:val="000000" w:themeColor="text1"/>
          <w:sz w:val="32"/>
          <w:szCs w:val="32"/>
          <w:highlight w:val="none"/>
        </w:rPr>
      </w:pPr>
      <w:r>
        <w:rPr>
          <w:rFonts w:hint="eastAsia" w:ascii="仿宋_GB2312" w:hAnsi="仿宋" w:eastAsia="仿宋_GB2312"/>
          <w:color w:val="000000" w:themeColor="text1"/>
          <w:sz w:val="32"/>
          <w:szCs w:val="32"/>
          <w:highlight w:val="none"/>
        </w:rPr>
        <w:t>1.按五级分类划分的贷款分布情况</w:t>
      </w:r>
    </w:p>
    <w:tbl>
      <w:tblPr>
        <w:tblStyle w:val="46"/>
        <w:tblW w:w="8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1330"/>
        <w:gridCol w:w="1560"/>
        <w:gridCol w:w="1842"/>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0" w:type="dxa"/>
            <w:vAlign w:val="center"/>
          </w:tcPr>
          <w:p>
            <w:pPr>
              <w:spacing w:line="520" w:lineRule="exact"/>
              <w:jc w:val="center"/>
              <w:rPr>
                <w:rFonts w:ascii="仿宋_GB2312" w:hAnsi="仿宋_GB2312" w:eastAsia="仿宋_GB2312" w:cs="仿宋_GB2312"/>
                <w:b/>
                <w:color w:val="000000" w:themeColor="text1"/>
                <w:sz w:val="24"/>
                <w:szCs w:val="24"/>
                <w:highlight w:val="none"/>
              </w:rPr>
            </w:pPr>
            <w:r>
              <w:rPr>
                <w:rFonts w:hint="eastAsia" w:ascii="仿宋_GB2312" w:hAnsi="仿宋_GB2312" w:eastAsia="仿宋_GB2312" w:cs="仿宋_GB2312"/>
                <w:b/>
                <w:color w:val="000000" w:themeColor="text1"/>
                <w:sz w:val="24"/>
                <w:szCs w:val="24"/>
                <w:highlight w:val="none"/>
              </w:rPr>
              <w:t>项  目</w:t>
            </w:r>
          </w:p>
        </w:tc>
        <w:tc>
          <w:tcPr>
            <w:tcW w:w="1330" w:type="dxa"/>
            <w:vAlign w:val="center"/>
          </w:tcPr>
          <w:p>
            <w:pPr>
              <w:spacing w:line="520" w:lineRule="exact"/>
              <w:jc w:val="center"/>
              <w:rPr>
                <w:rFonts w:ascii="仿宋_GB2312" w:hAnsi="仿宋_GB2312" w:eastAsia="仿宋_GB2312" w:cs="仿宋_GB2312"/>
                <w:b/>
                <w:color w:val="000000" w:themeColor="text1"/>
                <w:sz w:val="24"/>
                <w:szCs w:val="24"/>
                <w:highlight w:val="none"/>
              </w:rPr>
            </w:pPr>
            <w:r>
              <w:rPr>
                <w:rFonts w:hint="eastAsia" w:ascii="仿宋_GB2312" w:hAnsi="仿宋_GB2312" w:eastAsia="仿宋_GB2312" w:cs="仿宋_GB2312"/>
                <w:b/>
                <w:color w:val="000000" w:themeColor="text1"/>
                <w:sz w:val="24"/>
                <w:szCs w:val="24"/>
                <w:highlight w:val="none"/>
              </w:rPr>
              <w:t>202</w:t>
            </w:r>
            <w:r>
              <w:rPr>
                <w:rFonts w:hint="eastAsia" w:ascii="仿宋_GB2312" w:hAnsi="仿宋_GB2312" w:eastAsia="仿宋_GB2312" w:cs="仿宋_GB2312"/>
                <w:b/>
                <w:color w:val="000000" w:themeColor="text1"/>
                <w:sz w:val="24"/>
                <w:szCs w:val="24"/>
                <w:highlight w:val="none"/>
                <w:lang w:val="en-US" w:eastAsia="zh-CN"/>
              </w:rPr>
              <w:t>4</w:t>
            </w:r>
            <w:r>
              <w:rPr>
                <w:rFonts w:hint="eastAsia" w:ascii="仿宋_GB2312" w:hAnsi="仿宋_GB2312" w:eastAsia="仿宋_GB2312" w:cs="仿宋_GB2312"/>
                <w:b/>
                <w:color w:val="000000" w:themeColor="text1"/>
                <w:sz w:val="24"/>
                <w:szCs w:val="24"/>
                <w:highlight w:val="none"/>
              </w:rPr>
              <w:t>年度</w:t>
            </w:r>
          </w:p>
        </w:tc>
        <w:tc>
          <w:tcPr>
            <w:tcW w:w="1560" w:type="dxa"/>
            <w:vAlign w:val="center"/>
          </w:tcPr>
          <w:p>
            <w:pPr>
              <w:spacing w:line="520" w:lineRule="exact"/>
              <w:jc w:val="center"/>
              <w:rPr>
                <w:rFonts w:ascii="仿宋_GB2312" w:hAnsi="仿宋_GB2312" w:eastAsia="仿宋_GB2312" w:cs="仿宋_GB2312"/>
                <w:b/>
                <w:color w:val="000000" w:themeColor="text1"/>
                <w:sz w:val="24"/>
                <w:szCs w:val="24"/>
                <w:highlight w:val="none"/>
              </w:rPr>
            </w:pPr>
            <w:r>
              <w:rPr>
                <w:rFonts w:hint="eastAsia" w:ascii="仿宋_GB2312" w:hAnsi="仿宋_GB2312" w:eastAsia="仿宋_GB2312" w:cs="仿宋_GB2312"/>
                <w:b/>
                <w:color w:val="000000" w:themeColor="text1"/>
                <w:sz w:val="24"/>
                <w:szCs w:val="24"/>
                <w:highlight w:val="none"/>
              </w:rPr>
              <w:t>百分比%</w:t>
            </w:r>
          </w:p>
        </w:tc>
        <w:tc>
          <w:tcPr>
            <w:tcW w:w="1842" w:type="dxa"/>
            <w:vAlign w:val="center"/>
          </w:tcPr>
          <w:p>
            <w:pPr>
              <w:spacing w:line="520" w:lineRule="exact"/>
              <w:jc w:val="center"/>
              <w:rPr>
                <w:rFonts w:ascii="仿宋_GB2312" w:hAnsi="仿宋_GB2312" w:eastAsia="仿宋_GB2312" w:cs="仿宋_GB2312"/>
                <w:b/>
                <w:color w:val="000000" w:themeColor="text1"/>
                <w:sz w:val="24"/>
                <w:szCs w:val="24"/>
                <w:highlight w:val="none"/>
              </w:rPr>
            </w:pPr>
            <w:r>
              <w:rPr>
                <w:rFonts w:hint="eastAsia" w:ascii="仿宋_GB2312" w:hAnsi="仿宋_GB2312" w:eastAsia="仿宋_GB2312" w:cs="仿宋_GB2312"/>
                <w:b/>
                <w:color w:val="000000" w:themeColor="text1"/>
                <w:sz w:val="24"/>
                <w:szCs w:val="24"/>
                <w:highlight w:val="none"/>
              </w:rPr>
              <w:t>2023年度</w:t>
            </w:r>
          </w:p>
        </w:tc>
        <w:tc>
          <w:tcPr>
            <w:tcW w:w="1656" w:type="dxa"/>
            <w:vAlign w:val="center"/>
          </w:tcPr>
          <w:p>
            <w:pPr>
              <w:spacing w:line="520" w:lineRule="exact"/>
              <w:jc w:val="center"/>
              <w:rPr>
                <w:rFonts w:ascii="仿宋_GB2312" w:hAnsi="仿宋_GB2312" w:eastAsia="仿宋_GB2312" w:cs="仿宋_GB2312"/>
                <w:b/>
                <w:color w:val="000000" w:themeColor="text1"/>
                <w:sz w:val="24"/>
                <w:szCs w:val="24"/>
                <w:highlight w:val="none"/>
              </w:rPr>
            </w:pPr>
            <w:r>
              <w:rPr>
                <w:rFonts w:hint="eastAsia" w:ascii="仿宋_GB2312" w:hAnsi="仿宋_GB2312" w:eastAsia="仿宋_GB2312" w:cs="仿宋_GB2312"/>
                <w:b/>
                <w:color w:val="000000" w:themeColor="text1"/>
                <w:sz w:val="24"/>
                <w:szCs w:val="24"/>
                <w:highlight w:val="none"/>
              </w:rPr>
              <w:t>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0" w:type="dxa"/>
          </w:tcPr>
          <w:p>
            <w:pPr>
              <w:spacing w:line="520" w:lineRule="exact"/>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正常类贷款</w:t>
            </w:r>
          </w:p>
        </w:tc>
        <w:tc>
          <w:tcPr>
            <w:tcW w:w="133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461338 </w:t>
            </w:r>
          </w:p>
        </w:tc>
        <w:tc>
          <w:tcPr>
            <w:tcW w:w="156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92.44 </w:t>
            </w:r>
          </w:p>
        </w:tc>
        <w:tc>
          <w:tcPr>
            <w:tcW w:w="1842"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sz w:val="24"/>
                <w:szCs w:val="24"/>
                <w:highlight w:val="none"/>
              </w:rPr>
              <w:t>442131</w:t>
            </w:r>
          </w:p>
        </w:tc>
        <w:tc>
          <w:tcPr>
            <w:tcW w:w="1656"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91.78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80" w:type="dxa"/>
          </w:tcPr>
          <w:p>
            <w:pPr>
              <w:spacing w:line="520" w:lineRule="exact"/>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关注类贷款</w:t>
            </w:r>
          </w:p>
        </w:tc>
        <w:tc>
          <w:tcPr>
            <w:tcW w:w="133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29449 </w:t>
            </w:r>
          </w:p>
        </w:tc>
        <w:tc>
          <w:tcPr>
            <w:tcW w:w="156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5.90 </w:t>
            </w:r>
          </w:p>
        </w:tc>
        <w:tc>
          <w:tcPr>
            <w:tcW w:w="1842"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sz w:val="24"/>
                <w:szCs w:val="24"/>
                <w:highlight w:val="none"/>
              </w:rPr>
              <w:t>30010</w:t>
            </w:r>
          </w:p>
        </w:tc>
        <w:tc>
          <w:tcPr>
            <w:tcW w:w="1656"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180" w:type="dxa"/>
          </w:tcPr>
          <w:p>
            <w:pPr>
              <w:spacing w:line="520" w:lineRule="exact"/>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次级类贷款</w:t>
            </w:r>
          </w:p>
        </w:tc>
        <w:tc>
          <w:tcPr>
            <w:tcW w:w="133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7308 </w:t>
            </w:r>
          </w:p>
        </w:tc>
        <w:tc>
          <w:tcPr>
            <w:tcW w:w="156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1.46 </w:t>
            </w:r>
          </w:p>
        </w:tc>
        <w:tc>
          <w:tcPr>
            <w:tcW w:w="1842"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sz w:val="24"/>
                <w:szCs w:val="24"/>
                <w:highlight w:val="none"/>
              </w:rPr>
              <w:t>7661</w:t>
            </w:r>
          </w:p>
        </w:tc>
        <w:tc>
          <w:tcPr>
            <w:tcW w:w="1656"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0" w:type="dxa"/>
          </w:tcPr>
          <w:p>
            <w:pPr>
              <w:spacing w:line="520" w:lineRule="exact"/>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可疑类贷款</w:t>
            </w:r>
          </w:p>
        </w:tc>
        <w:tc>
          <w:tcPr>
            <w:tcW w:w="133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848 </w:t>
            </w:r>
          </w:p>
        </w:tc>
        <w:tc>
          <w:tcPr>
            <w:tcW w:w="156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0.17 </w:t>
            </w:r>
          </w:p>
        </w:tc>
        <w:tc>
          <w:tcPr>
            <w:tcW w:w="1842"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sz w:val="24"/>
                <w:szCs w:val="24"/>
                <w:highlight w:val="none"/>
              </w:rPr>
              <w:t>1472</w:t>
            </w:r>
          </w:p>
        </w:tc>
        <w:tc>
          <w:tcPr>
            <w:tcW w:w="1656"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0" w:type="dxa"/>
          </w:tcPr>
          <w:p>
            <w:pPr>
              <w:spacing w:line="520" w:lineRule="exact"/>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损失类贷款</w:t>
            </w:r>
          </w:p>
        </w:tc>
        <w:tc>
          <w:tcPr>
            <w:tcW w:w="133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150 </w:t>
            </w:r>
          </w:p>
        </w:tc>
        <w:tc>
          <w:tcPr>
            <w:tcW w:w="156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0.03 </w:t>
            </w:r>
          </w:p>
        </w:tc>
        <w:tc>
          <w:tcPr>
            <w:tcW w:w="1842"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sz w:val="24"/>
                <w:szCs w:val="24"/>
                <w:highlight w:val="none"/>
              </w:rPr>
              <w:t>469</w:t>
            </w:r>
          </w:p>
        </w:tc>
        <w:tc>
          <w:tcPr>
            <w:tcW w:w="1656"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0" w:type="dxa"/>
          </w:tcPr>
          <w:p>
            <w:pPr>
              <w:spacing w:line="520" w:lineRule="exact"/>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贷款总额</w:t>
            </w:r>
          </w:p>
        </w:tc>
        <w:tc>
          <w:tcPr>
            <w:tcW w:w="1330" w:type="dxa"/>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499093 </w:t>
            </w:r>
          </w:p>
        </w:tc>
        <w:tc>
          <w:tcPr>
            <w:tcW w:w="1560" w:type="dxa"/>
            <w:vAlign w:val="center"/>
          </w:tcPr>
          <w:p>
            <w:pPr>
              <w:widowControl/>
              <w:spacing w:line="520" w:lineRule="exact"/>
              <w:jc w:val="center"/>
              <w:textAlignment w:val="center"/>
              <w:rPr>
                <w:rFonts w:hint="default" w:ascii="仿宋_GB2312" w:hAnsi="仿宋_GB2312" w:eastAsia="仿宋_GB2312" w:cs="仿宋_GB2312"/>
                <w:color w:val="000000" w:themeColor="text1"/>
                <w:kern w:val="0"/>
                <w:sz w:val="24"/>
                <w:szCs w:val="24"/>
                <w:highlight w:val="none"/>
                <w:lang w:val="en-US" w:eastAsia="zh-CN"/>
              </w:rPr>
            </w:pPr>
            <w:r>
              <w:rPr>
                <w:rFonts w:hint="eastAsia" w:ascii="仿宋_GB2312" w:hAnsi="仿宋_GB2312" w:eastAsia="仿宋_GB2312" w:cs="仿宋_GB2312"/>
                <w:color w:val="000000" w:themeColor="text1"/>
                <w:kern w:val="0"/>
                <w:sz w:val="24"/>
                <w:szCs w:val="24"/>
                <w:highlight w:val="none"/>
                <w:lang w:val="en-US" w:eastAsia="zh-CN"/>
              </w:rPr>
              <w:t>100</w:t>
            </w:r>
          </w:p>
        </w:tc>
        <w:tc>
          <w:tcPr>
            <w:tcW w:w="1842" w:type="dxa"/>
            <w:vAlign w:val="center"/>
          </w:tcPr>
          <w:p>
            <w:pPr>
              <w:widowControl/>
              <w:spacing w:line="520" w:lineRule="exact"/>
              <w:ind w:right="105" w:rightChars="0"/>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481743</w:t>
            </w:r>
          </w:p>
        </w:tc>
        <w:tc>
          <w:tcPr>
            <w:tcW w:w="1656" w:type="dxa"/>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0"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不良贷款总额</w:t>
            </w:r>
          </w:p>
        </w:tc>
        <w:tc>
          <w:tcPr>
            <w:tcW w:w="133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textAlignment w:val="center"/>
              <w:rPr>
                <w:rFonts w:hint="eastAsia"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 xml:space="preserve">8306 </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textAlignment w:val="center"/>
              <w:rPr>
                <w:rFonts w:hint="default" w:ascii="仿宋_GB2312" w:hAnsi="仿宋_GB2312" w:eastAsia="仿宋_GB2312" w:cs="仿宋_GB2312"/>
                <w:color w:val="000000" w:themeColor="text1"/>
                <w:kern w:val="0"/>
                <w:sz w:val="24"/>
                <w:szCs w:val="24"/>
                <w:highlight w:val="none"/>
                <w:lang w:val="en-US" w:eastAsia="zh-CN"/>
              </w:rPr>
            </w:pPr>
            <w:r>
              <w:rPr>
                <w:rFonts w:hint="eastAsia" w:ascii="仿宋_GB2312" w:hAnsi="仿宋_GB2312" w:eastAsia="仿宋_GB2312" w:cs="仿宋_GB2312"/>
                <w:color w:val="000000" w:themeColor="text1"/>
                <w:kern w:val="0"/>
                <w:sz w:val="24"/>
                <w:szCs w:val="24"/>
                <w:highlight w:val="none"/>
                <w:lang w:val="en-US" w:eastAsia="zh-CN"/>
              </w:rPr>
              <w:t>1.66</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9602</w:t>
            </w:r>
          </w:p>
        </w:tc>
        <w:tc>
          <w:tcPr>
            <w:tcW w:w="165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textAlignment w:val="center"/>
              <w:rPr>
                <w:rFonts w:ascii="仿宋_GB2312" w:hAnsi="仿宋_GB2312" w:eastAsia="仿宋_GB2312" w:cs="仿宋_GB2312"/>
                <w:color w:val="000000" w:themeColor="text1"/>
                <w:kern w:val="0"/>
                <w:sz w:val="24"/>
                <w:szCs w:val="24"/>
                <w:highlight w:val="none"/>
              </w:rPr>
            </w:pPr>
            <w:r>
              <w:rPr>
                <w:rFonts w:hint="eastAsia" w:ascii="仿宋_GB2312" w:hAnsi="仿宋_GB2312" w:eastAsia="仿宋_GB2312" w:cs="仿宋_GB2312"/>
                <w:color w:val="000000" w:themeColor="text1"/>
                <w:kern w:val="0"/>
                <w:sz w:val="24"/>
                <w:szCs w:val="24"/>
                <w:highlight w:val="none"/>
              </w:rPr>
              <w:t>1.99</w:t>
            </w:r>
          </w:p>
        </w:tc>
      </w:tr>
    </w:tbl>
    <w:p>
      <w:pPr>
        <w:spacing w:line="520" w:lineRule="exact"/>
        <w:rPr>
          <w:rFonts w:ascii="仿宋_GB2312" w:hAnsi="仿宋" w:eastAsia="仿宋_GB2312"/>
          <w:color w:val="000000" w:themeColor="text1"/>
          <w:sz w:val="32"/>
          <w:szCs w:val="32"/>
          <w:highlight w:val="none"/>
        </w:rPr>
      </w:pPr>
    </w:p>
    <w:p>
      <w:pPr>
        <w:numPr>
          <w:ilvl w:val="0"/>
          <w:numId w:val="10"/>
        </w:numPr>
        <w:spacing w:line="520" w:lineRule="exact"/>
        <w:ind w:firstLine="640" w:firstLineChars="200"/>
        <w:rPr>
          <w:rFonts w:hint="eastAsia" w:ascii="仿宋_GB2312" w:hAnsi="仿宋" w:eastAsia="仿宋_GB2312"/>
          <w:color w:val="000000" w:themeColor="text1"/>
          <w:sz w:val="32"/>
          <w:szCs w:val="32"/>
          <w:highlight w:val="none"/>
        </w:rPr>
      </w:pPr>
      <w:r>
        <w:rPr>
          <w:rFonts w:hint="eastAsia" w:ascii="仿宋_GB2312" w:hAnsi="仿宋" w:eastAsia="仿宋_GB2312"/>
          <w:color w:val="000000" w:themeColor="text1"/>
          <w:sz w:val="32"/>
          <w:szCs w:val="32"/>
          <w:highlight w:val="none"/>
        </w:rPr>
        <w:t>按行业划分的贷款及不良贷款分布情况</w:t>
      </w:r>
    </w:p>
    <w:p>
      <w:pPr>
        <w:pStyle w:val="45"/>
        <w:numPr>
          <w:ilvl w:val="0"/>
          <w:numId w:val="0"/>
        </w:numPr>
        <w:rPr>
          <w:highlight w:val="none"/>
        </w:rPr>
      </w:pPr>
    </w:p>
    <w:p>
      <w:pPr>
        <w:pStyle w:val="45"/>
        <w:numPr>
          <w:ilvl w:val="0"/>
          <w:numId w:val="0"/>
        </w:numPr>
        <w:rPr>
          <w:highlight w:val="none"/>
        </w:rPr>
      </w:pPr>
    </w:p>
    <w:tbl>
      <w:tblPr>
        <w:tblStyle w:val="46"/>
        <w:tblW w:w="965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2049"/>
        <w:gridCol w:w="1000"/>
        <w:gridCol w:w="1134"/>
        <w:gridCol w:w="1134"/>
        <w:gridCol w:w="993"/>
        <w:gridCol w:w="1048"/>
        <w:gridCol w:w="951"/>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序号</w:t>
            </w:r>
          </w:p>
        </w:tc>
        <w:tc>
          <w:tcPr>
            <w:tcW w:w="2049"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行业名称</w:t>
            </w:r>
          </w:p>
        </w:tc>
        <w:tc>
          <w:tcPr>
            <w:tcW w:w="1000"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贷款余额</w:t>
            </w:r>
          </w:p>
        </w:tc>
        <w:tc>
          <w:tcPr>
            <w:tcW w:w="1134"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正常类贷款</w:t>
            </w:r>
          </w:p>
        </w:tc>
        <w:tc>
          <w:tcPr>
            <w:tcW w:w="1134"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关注类贷款</w:t>
            </w:r>
          </w:p>
        </w:tc>
        <w:tc>
          <w:tcPr>
            <w:tcW w:w="993"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不良贷款</w:t>
            </w:r>
          </w:p>
        </w:tc>
        <w:tc>
          <w:tcPr>
            <w:tcW w:w="1048"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次级类</w:t>
            </w:r>
          </w:p>
        </w:tc>
        <w:tc>
          <w:tcPr>
            <w:tcW w:w="951"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可疑类</w:t>
            </w:r>
          </w:p>
        </w:tc>
        <w:tc>
          <w:tcPr>
            <w:tcW w:w="846"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18"/>
                <w:szCs w:val="18"/>
                <w:highlight w:val="none"/>
              </w:rPr>
            </w:pPr>
            <w:r>
              <w:rPr>
                <w:rFonts w:hint="eastAsia" w:ascii="仿宋_GB2312" w:hAnsi="仿宋_GB2312" w:eastAsia="仿宋_GB2312" w:cs="仿宋_GB2312"/>
                <w:b/>
                <w:bCs/>
                <w:color w:val="000000" w:themeColor="text1"/>
                <w:sz w:val="18"/>
                <w:szCs w:val="18"/>
                <w:highlight w:val="none"/>
              </w:rPr>
              <w:t>损失类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2.1农、林、牧、渔业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121993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108353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10607</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3033</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2752</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254</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2.2采矿业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3487</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3100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346</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3</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2.3制造业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54932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48675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5497</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761</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721</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4</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2.4电力、热力、燃气及水的生产和供应业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3486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3436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5</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2.5建筑业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33921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30581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2698</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643</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555</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78</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6</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2.6批发和零售业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104312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100019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3195</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1098</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988</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105</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7</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2.7交通运输、仓储和邮政业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10275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9180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717</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377</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319</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48</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8</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2.8住宿和餐饮业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20723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19106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1123</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494</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494</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9</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2.9信息传输、软件和信息技术服务业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3469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3225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164</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63</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17</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ind w:right="-359" w:rightChars="-171"/>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10</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2.10金融业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11</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2.11房地产业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255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233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22</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12</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2.12租赁和商务服务业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9897</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9399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430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68</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68</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13</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2.13科学研究和技术服务</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1365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1365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14</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2.14水利、环境和公共设施管理</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3156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3131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15</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2.15居民服务、修理和其他服务业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10423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9765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473</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186</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161</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16</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2.16教育</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1435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1345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64</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26</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26</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17</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2.17卫生和社会工作</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4009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3923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83</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18</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2.18文化、体育和娱乐业</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2799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2401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304</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94</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94</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19</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2.19公共管理、社会保障和社会组织</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842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764</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58</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20</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2.20国际组织</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21</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2.21个人贷款(不含个人经营性贷款)</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108315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103339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3613</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1363</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985</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297</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2.21.1信用卡</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6130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5029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876</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225</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81</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62</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23</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2.21.2汽车</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24</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2.21.3住房按揭贷款</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48070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46224</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1281</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565</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440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125</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25</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2.21.4助学贷款</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13181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13179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26</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2.21.5其他</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40934</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38906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1456</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571</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462</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109</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27</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2.22买断式转贴现</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spacing w:line="520" w:lineRule="exact"/>
              <w:jc w:val="center"/>
              <w:textAlignment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textAlignment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textAlignment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textAlignment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textAlignment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textAlignment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textAlignment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dxa"/>
            <w:vAlign w:val="center"/>
          </w:tcPr>
          <w:p>
            <w:pPr>
              <w:spacing w:line="520" w:lineRule="exact"/>
              <w:jc w:val="left"/>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28</w:t>
            </w:r>
          </w:p>
        </w:tc>
        <w:tc>
          <w:tcPr>
            <w:tcW w:w="2049" w:type="dxa"/>
            <w:tcBorders>
              <w:top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2.23买断其他票据类资产</w:t>
            </w:r>
          </w:p>
        </w:tc>
        <w:tc>
          <w:tcPr>
            <w:tcW w:w="1000" w:type="dxa"/>
            <w:tcBorders>
              <w:top w:val="single" w:color="auto" w:sz="4" w:space="0"/>
              <w:left w:val="nil"/>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4" w:type="dxa"/>
            <w:gridSpan w:val="2"/>
            <w:vAlign w:val="center"/>
          </w:tcPr>
          <w:p>
            <w:pPr>
              <w:spacing w:line="520" w:lineRule="exact"/>
              <w:jc w:val="center"/>
              <w:rPr>
                <w:rFonts w:ascii="仿宋_GB2312" w:hAnsi="仿宋_GB2312" w:eastAsia="仿宋_GB2312" w:cs="仿宋_GB2312"/>
                <w:color w:val="000000" w:themeColor="text1"/>
                <w:sz w:val="18"/>
                <w:szCs w:val="18"/>
                <w:highlight w:val="none"/>
              </w:rPr>
            </w:pPr>
            <w:r>
              <w:rPr>
                <w:rFonts w:hint="eastAsia" w:ascii="仿宋_GB2312" w:hAnsi="仿宋_GB2312" w:eastAsia="仿宋_GB2312" w:cs="仿宋_GB2312"/>
                <w:color w:val="000000" w:themeColor="text1"/>
                <w:sz w:val="18"/>
                <w:szCs w:val="18"/>
                <w:highlight w:val="none"/>
              </w:rPr>
              <w:t>合计</w:t>
            </w:r>
          </w:p>
        </w:tc>
        <w:tc>
          <w:tcPr>
            <w:tcW w:w="1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499093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461338</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29449</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8306</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7308</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848</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000000" w:themeColor="text1"/>
                <w:sz w:val="18"/>
                <w:szCs w:val="18"/>
                <w:highlight w:val="none"/>
              </w:rPr>
            </w:pPr>
            <w:r>
              <w:rPr>
                <w:rFonts w:hint="eastAsia" w:ascii="宋体" w:hAnsi="宋体" w:eastAsia="宋体" w:cs="宋体"/>
                <w:i w:val="0"/>
                <w:iCs w:val="0"/>
                <w:color w:val="000000"/>
                <w:kern w:val="0"/>
                <w:sz w:val="20"/>
                <w:szCs w:val="20"/>
                <w:highlight w:val="none"/>
                <w:u w:val="none"/>
                <w:lang w:val="en-US" w:eastAsia="zh-CN" w:bidi="ar"/>
              </w:rPr>
              <w:t>150</w:t>
            </w:r>
          </w:p>
        </w:tc>
      </w:tr>
    </w:tbl>
    <w:p>
      <w:pPr>
        <w:spacing w:line="520" w:lineRule="exact"/>
        <w:ind w:firstLine="640" w:firstLineChars="200"/>
        <w:rPr>
          <w:rFonts w:ascii="仿宋_GB2312" w:hAnsi="仿宋" w:eastAsia="仿宋_GB2312"/>
          <w:color w:val="000000" w:themeColor="text1"/>
          <w:sz w:val="32"/>
          <w:szCs w:val="32"/>
          <w:highlight w:val="none"/>
        </w:rPr>
      </w:pPr>
      <w:r>
        <w:rPr>
          <w:rFonts w:hint="eastAsia" w:ascii="仿宋_GB2312" w:hAnsi="仿宋" w:eastAsia="仿宋_GB2312"/>
          <w:color w:val="000000" w:themeColor="text1"/>
          <w:sz w:val="32"/>
          <w:szCs w:val="32"/>
          <w:highlight w:val="none"/>
        </w:rPr>
        <w:t>3.按担保方式划分的贷款及不良贷款分布情况</w:t>
      </w:r>
    </w:p>
    <w:tbl>
      <w:tblPr>
        <w:tblStyle w:val="46"/>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1"/>
        <w:gridCol w:w="2526"/>
        <w:gridCol w:w="23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1" w:type="dxa"/>
            <w:vAlign w:val="center"/>
          </w:tcPr>
          <w:p>
            <w:pPr>
              <w:spacing w:line="520" w:lineRule="exact"/>
              <w:jc w:val="center"/>
              <w:rPr>
                <w:rFonts w:ascii="仿宋_GB2312" w:hAnsi="仿宋_GB2312" w:eastAsia="仿宋_GB2312" w:cs="仿宋_GB2312"/>
                <w:b/>
                <w:bCs/>
                <w:color w:val="000000" w:themeColor="text1"/>
                <w:sz w:val="24"/>
                <w:szCs w:val="24"/>
                <w:highlight w:val="none"/>
              </w:rPr>
            </w:pPr>
            <w:r>
              <w:rPr>
                <w:rFonts w:hint="eastAsia" w:ascii="仿宋_GB2312" w:hAnsi="仿宋_GB2312" w:eastAsia="仿宋_GB2312" w:cs="仿宋_GB2312"/>
                <w:b/>
                <w:bCs/>
                <w:color w:val="000000" w:themeColor="text1"/>
                <w:sz w:val="24"/>
                <w:szCs w:val="24"/>
                <w:highlight w:val="none"/>
              </w:rPr>
              <w:t>担保方式</w:t>
            </w:r>
          </w:p>
        </w:tc>
        <w:tc>
          <w:tcPr>
            <w:tcW w:w="2526"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24"/>
                <w:szCs w:val="24"/>
                <w:highlight w:val="none"/>
              </w:rPr>
            </w:pPr>
            <w:r>
              <w:rPr>
                <w:rFonts w:hint="eastAsia" w:ascii="仿宋_GB2312" w:hAnsi="仿宋_GB2312" w:eastAsia="仿宋_GB2312" w:cs="仿宋_GB2312"/>
                <w:b/>
                <w:bCs/>
                <w:color w:val="000000" w:themeColor="text1"/>
                <w:sz w:val="24"/>
                <w:szCs w:val="24"/>
                <w:highlight w:val="none"/>
              </w:rPr>
              <w:t>贷款余额</w:t>
            </w:r>
          </w:p>
        </w:tc>
        <w:tc>
          <w:tcPr>
            <w:tcW w:w="2318"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24"/>
                <w:szCs w:val="24"/>
                <w:highlight w:val="none"/>
              </w:rPr>
            </w:pPr>
            <w:r>
              <w:rPr>
                <w:rFonts w:hint="eastAsia" w:ascii="仿宋_GB2312" w:hAnsi="仿宋_GB2312" w:eastAsia="仿宋_GB2312" w:cs="仿宋_GB2312"/>
                <w:b/>
                <w:bCs/>
                <w:color w:val="000000" w:themeColor="text1"/>
                <w:sz w:val="24"/>
                <w:szCs w:val="24"/>
                <w:highlight w:val="none"/>
              </w:rPr>
              <w:t>其中：不良贷款</w:t>
            </w:r>
          </w:p>
        </w:tc>
        <w:tc>
          <w:tcPr>
            <w:tcW w:w="1984" w:type="dxa"/>
            <w:tcBorders>
              <w:bottom w:val="single" w:color="auto" w:sz="4" w:space="0"/>
            </w:tcBorders>
            <w:vAlign w:val="center"/>
          </w:tcPr>
          <w:p>
            <w:pPr>
              <w:spacing w:line="520" w:lineRule="exact"/>
              <w:jc w:val="center"/>
              <w:rPr>
                <w:rFonts w:ascii="仿宋_GB2312" w:hAnsi="仿宋_GB2312" w:eastAsia="仿宋_GB2312" w:cs="仿宋_GB2312"/>
                <w:b/>
                <w:bCs/>
                <w:color w:val="000000" w:themeColor="text1"/>
                <w:sz w:val="24"/>
                <w:szCs w:val="24"/>
                <w:highlight w:val="none"/>
              </w:rPr>
            </w:pPr>
            <w:r>
              <w:rPr>
                <w:rFonts w:hint="eastAsia" w:ascii="仿宋_GB2312" w:hAnsi="仿宋_GB2312" w:eastAsia="仿宋_GB2312" w:cs="仿宋_GB2312"/>
                <w:b/>
                <w:bCs/>
                <w:color w:val="000000" w:themeColor="text1"/>
                <w:sz w:val="24"/>
                <w:szCs w:val="24"/>
                <w:highlight w:val="none"/>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1"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信用</w:t>
            </w:r>
          </w:p>
        </w:tc>
        <w:tc>
          <w:tcPr>
            <w:tcW w:w="2526" w:type="dxa"/>
            <w:tcBorders>
              <w:top w:val="single" w:color="auto" w:sz="4" w:space="0"/>
              <w:left w:val="nil"/>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125542</w:t>
            </w:r>
          </w:p>
        </w:tc>
        <w:tc>
          <w:tcPr>
            <w:tcW w:w="23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1299</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rPr>
              <w:t>1.</w:t>
            </w:r>
            <w:r>
              <w:rPr>
                <w:rFonts w:hint="eastAsia" w:ascii="仿宋_GB2312" w:hAnsi="仿宋_GB2312" w:eastAsia="仿宋_GB2312" w:cs="仿宋_GB2312"/>
                <w:color w:val="000000" w:themeColor="text1"/>
                <w:sz w:val="24"/>
                <w:szCs w:val="24"/>
                <w:highlight w:val="none"/>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1"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保证</w:t>
            </w:r>
          </w:p>
        </w:tc>
        <w:tc>
          <w:tcPr>
            <w:tcW w:w="2526" w:type="dxa"/>
            <w:tcBorders>
              <w:top w:val="single" w:color="auto" w:sz="4" w:space="0"/>
              <w:left w:val="nil"/>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243476</w:t>
            </w:r>
          </w:p>
        </w:tc>
        <w:tc>
          <w:tcPr>
            <w:tcW w:w="23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5796</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rPr>
              <w:t>2.</w:t>
            </w:r>
            <w:r>
              <w:rPr>
                <w:rFonts w:hint="eastAsia" w:ascii="仿宋_GB2312" w:hAnsi="仿宋_GB2312" w:eastAsia="仿宋_GB2312" w:cs="仿宋_GB2312"/>
                <w:color w:val="000000" w:themeColor="text1"/>
                <w:sz w:val="24"/>
                <w:szCs w:val="24"/>
                <w:highlight w:val="none"/>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21"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抵押</w:t>
            </w:r>
          </w:p>
        </w:tc>
        <w:tc>
          <w:tcPr>
            <w:tcW w:w="2526" w:type="dxa"/>
            <w:tcBorders>
              <w:top w:val="single" w:color="auto" w:sz="4" w:space="0"/>
              <w:left w:val="nil"/>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129550</w:t>
            </w:r>
          </w:p>
        </w:tc>
        <w:tc>
          <w:tcPr>
            <w:tcW w:w="23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1211</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rPr>
              <w:t>0.</w:t>
            </w:r>
            <w:r>
              <w:rPr>
                <w:rFonts w:hint="eastAsia" w:ascii="仿宋_GB2312" w:hAnsi="仿宋_GB2312" w:eastAsia="仿宋_GB2312" w:cs="仿宋_GB2312"/>
                <w:color w:val="000000" w:themeColor="text1"/>
                <w:sz w:val="24"/>
                <w:szCs w:val="24"/>
                <w:highlight w:val="none"/>
                <w:lang w:val="en-US" w:eastAsia="zh-CN"/>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1"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质押</w:t>
            </w:r>
          </w:p>
        </w:tc>
        <w:tc>
          <w:tcPr>
            <w:tcW w:w="2526" w:type="dxa"/>
            <w:tcBorders>
              <w:top w:val="single" w:color="auto" w:sz="4" w:space="0"/>
              <w:left w:val="nil"/>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525</w:t>
            </w:r>
          </w:p>
        </w:tc>
        <w:tc>
          <w:tcPr>
            <w:tcW w:w="23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1"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其中：贴现</w:t>
            </w:r>
          </w:p>
        </w:tc>
        <w:tc>
          <w:tcPr>
            <w:tcW w:w="2526" w:type="dxa"/>
            <w:tcBorders>
              <w:top w:val="single" w:color="auto" w:sz="4" w:space="0"/>
            </w:tcBorders>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c>
          <w:tcPr>
            <w:tcW w:w="2318" w:type="dxa"/>
            <w:tcBorders>
              <w:top w:val="single" w:color="auto" w:sz="4" w:space="0"/>
            </w:tcBorders>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c>
          <w:tcPr>
            <w:tcW w:w="1984" w:type="dxa"/>
            <w:tcBorders>
              <w:top w:val="single" w:color="auto" w:sz="4" w:space="0"/>
            </w:tcBorders>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1"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其它</w:t>
            </w:r>
          </w:p>
        </w:tc>
        <w:tc>
          <w:tcPr>
            <w:tcW w:w="2526"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c>
          <w:tcPr>
            <w:tcW w:w="2318"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c>
          <w:tcPr>
            <w:tcW w:w="1984"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1" w:type="dxa"/>
            <w:vAlign w:val="center"/>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rPr>
              <w:t>合计</w:t>
            </w:r>
          </w:p>
        </w:tc>
        <w:tc>
          <w:tcPr>
            <w:tcW w:w="2526" w:type="dxa"/>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499093</w:t>
            </w:r>
          </w:p>
        </w:tc>
        <w:tc>
          <w:tcPr>
            <w:tcW w:w="2318" w:type="dxa"/>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lang w:val="en-US" w:eastAsia="zh-CN"/>
              </w:rPr>
              <w:t>8306</w:t>
            </w:r>
          </w:p>
        </w:tc>
        <w:tc>
          <w:tcPr>
            <w:tcW w:w="1984" w:type="dxa"/>
            <w:vAlign w:val="center"/>
          </w:tcPr>
          <w:p>
            <w:pPr>
              <w:spacing w:line="520" w:lineRule="exact"/>
              <w:jc w:val="center"/>
              <w:rPr>
                <w:rFonts w:hint="default" w:ascii="仿宋_GB2312" w:hAnsi="仿宋_GB2312" w:eastAsia="仿宋_GB2312" w:cs="仿宋_GB2312"/>
                <w:color w:val="000000" w:themeColor="text1"/>
                <w:sz w:val="24"/>
                <w:szCs w:val="24"/>
                <w:highlight w:val="none"/>
                <w:lang w:val="en-US" w:eastAsia="zh-CN"/>
              </w:rPr>
            </w:pPr>
            <w:r>
              <w:rPr>
                <w:rFonts w:hint="eastAsia" w:ascii="仿宋_GB2312" w:hAnsi="仿宋_GB2312" w:eastAsia="仿宋_GB2312" w:cs="仿宋_GB2312"/>
                <w:color w:val="000000" w:themeColor="text1"/>
                <w:sz w:val="24"/>
                <w:szCs w:val="24"/>
                <w:highlight w:val="none"/>
              </w:rPr>
              <w:t>1.</w:t>
            </w:r>
            <w:r>
              <w:rPr>
                <w:rFonts w:hint="eastAsia" w:ascii="仿宋_GB2312" w:hAnsi="仿宋_GB2312" w:eastAsia="仿宋_GB2312" w:cs="仿宋_GB2312"/>
                <w:color w:val="000000" w:themeColor="text1"/>
                <w:sz w:val="24"/>
                <w:szCs w:val="24"/>
                <w:highlight w:val="none"/>
                <w:lang w:val="en-US" w:eastAsia="zh-CN"/>
              </w:rPr>
              <w:t>66</w:t>
            </w:r>
          </w:p>
        </w:tc>
      </w:tr>
    </w:tbl>
    <w:p>
      <w:pPr>
        <w:numPr>
          <w:ilvl w:val="0"/>
          <w:numId w:val="11"/>
        </w:num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前十大单一借款人的贷款情况</w:t>
      </w:r>
    </w:p>
    <w:p>
      <w:pPr>
        <w:pStyle w:val="2"/>
        <w:rPr>
          <w:highlight w:val="none"/>
        </w:rPr>
      </w:pPr>
    </w:p>
    <w:tbl>
      <w:tblPr>
        <w:tblStyle w:val="46"/>
        <w:tblW w:w="936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6"/>
        <w:gridCol w:w="1050"/>
        <w:gridCol w:w="1125"/>
        <w:gridCol w:w="1112"/>
        <w:gridCol w:w="625"/>
        <w:gridCol w:w="475"/>
        <w:gridCol w:w="500"/>
        <w:gridCol w:w="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bottom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客户名称</w:t>
            </w:r>
          </w:p>
        </w:tc>
        <w:tc>
          <w:tcPr>
            <w:tcW w:w="1050" w:type="dxa"/>
            <w:tcBorders>
              <w:bottom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贷款余额</w:t>
            </w:r>
          </w:p>
        </w:tc>
        <w:tc>
          <w:tcPr>
            <w:tcW w:w="1125" w:type="dxa"/>
            <w:tcBorders>
              <w:bottom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占资本净额比例%</w:t>
            </w:r>
          </w:p>
        </w:tc>
        <w:tc>
          <w:tcPr>
            <w:tcW w:w="1112" w:type="dxa"/>
            <w:tcBorders>
              <w:bottom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正常类</w:t>
            </w:r>
          </w:p>
        </w:tc>
        <w:tc>
          <w:tcPr>
            <w:tcW w:w="625" w:type="dxa"/>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关注类</w:t>
            </w:r>
          </w:p>
        </w:tc>
        <w:tc>
          <w:tcPr>
            <w:tcW w:w="475" w:type="dxa"/>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次级类</w:t>
            </w:r>
          </w:p>
        </w:tc>
        <w:tc>
          <w:tcPr>
            <w:tcW w:w="500" w:type="dxa"/>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可疑类</w:t>
            </w:r>
          </w:p>
        </w:tc>
        <w:tc>
          <w:tcPr>
            <w:tcW w:w="564" w:type="dxa"/>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损失类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连城县培田景区旅游发展有限公司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连城县赖源景区旅游发展有限公司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福建允升复合材料科技有限公司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福建省和颐健康养老有限公司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福建莲融发建设发展有限公司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福建连汇鑫矿业有限公司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福建连城豸龙旅游集团有限公司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990</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连城县祥园食品科技有限公司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988</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988</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连城文川医院有限公司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988</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988</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福建新华夏建工集团有限公司</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988</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0.79</w:t>
            </w:r>
          </w:p>
        </w:tc>
        <w:tc>
          <w:tcPr>
            <w:tcW w:w="111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t>988</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916" w:type="dxa"/>
            <w:tcBorders>
              <w:top w:val="single" w:color="auto" w:sz="4" w:space="0"/>
            </w:tcBorders>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合计</w:t>
            </w:r>
          </w:p>
        </w:tc>
        <w:tc>
          <w:tcPr>
            <w:tcW w:w="1050" w:type="dxa"/>
            <w:tcBorders>
              <w:top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9894</w:t>
            </w:r>
          </w:p>
        </w:tc>
        <w:tc>
          <w:tcPr>
            <w:tcW w:w="1125" w:type="dxa"/>
            <w:tcBorders>
              <w:top w:val="single" w:color="auto" w:sz="4" w:space="0"/>
            </w:tcBorders>
            <w:vAlign w:val="center"/>
          </w:tcPr>
          <w:p>
            <w:pPr>
              <w:spacing w:line="52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7.89</w:t>
            </w:r>
          </w:p>
        </w:tc>
        <w:tc>
          <w:tcPr>
            <w:tcW w:w="1112" w:type="dxa"/>
            <w:tcBorders>
              <w:top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4"/>
                <w:szCs w:val="24"/>
                <w:highlight w:val="none"/>
                <w:u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9894</w:t>
            </w:r>
          </w:p>
        </w:tc>
        <w:tc>
          <w:tcPr>
            <w:tcW w:w="62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475"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00"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c>
          <w:tcPr>
            <w:tcW w:w="564"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bl>
    <w:p>
      <w:pPr>
        <w:numPr>
          <w:ilvl w:val="0"/>
          <w:numId w:val="11"/>
        </w:numPr>
        <w:spacing w:line="52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贷款减值准备的变化</w:t>
      </w:r>
    </w:p>
    <w:p>
      <w:pPr>
        <w:pStyle w:val="2"/>
        <w:rPr>
          <w:highlight w:val="none"/>
        </w:rPr>
      </w:pPr>
    </w:p>
    <w:tbl>
      <w:tblPr>
        <w:tblStyle w:val="46"/>
        <w:tblW w:w="7870" w:type="dxa"/>
        <w:tblInd w:w="6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5"/>
        <w:gridCol w:w="2531"/>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5" w:type="dxa"/>
            <w:vAlign w:val="center"/>
          </w:tcPr>
          <w:p>
            <w:pPr>
              <w:spacing w:line="520" w:lineRule="exact"/>
              <w:jc w:val="center"/>
              <w:rPr>
                <w:rFonts w:ascii="仿宋_GB2312" w:hAnsi="仿宋_GB2312" w:eastAsia="仿宋_GB2312" w:cs="仿宋_GB2312"/>
                <w:b/>
                <w:sz w:val="24"/>
                <w:szCs w:val="24"/>
                <w:highlight w:val="none"/>
              </w:rPr>
            </w:pPr>
            <w:r>
              <w:rPr>
                <w:rFonts w:hint="eastAsia" w:ascii="仿宋_GB2312" w:hAnsi="仿宋_GB2312" w:eastAsia="仿宋_GB2312" w:cs="仿宋_GB2312"/>
                <w:b/>
                <w:sz w:val="24"/>
                <w:szCs w:val="24"/>
                <w:highlight w:val="none"/>
              </w:rPr>
              <w:t>项  目</w:t>
            </w:r>
          </w:p>
        </w:tc>
        <w:tc>
          <w:tcPr>
            <w:tcW w:w="2531" w:type="dxa"/>
            <w:vAlign w:val="center"/>
          </w:tcPr>
          <w:p>
            <w:pPr>
              <w:spacing w:line="520" w:lineRule="exact"/>
              <w:jc w:val="center"/>
              <w:rPr>
                <w:rFonts w:ascii="仿宋_GB2312" w:hAnsi="仿宋_GB2312" w:eastAsia="仿宋_GB2312" w:cs="仿宋_GB2312"/>
                <w:b/>
                <w:sz w:val="24"/>
                <w:szCs w:val="24"/>
                <w:highlight w:val="none"/>
              </w:rPr>
            </w:pPr>
            <w:r>
              <w:rPr>
                <w:rFonts w:hint="eastAsia" w:ascii="仿宋_GB2312" w:hAnsi="仿宋_GB2312" w:eastAsia="仿宋_GB2312" w:cs="仿宋_GB2312"/>
                <w:b/>
                <w:sz w:val="24"/>
                <w:szCs w:val="24"/>
                <w:highlight w:val="none"/>
              </w:rPr>
              <w:t>202</w:t>
            </w:r>
            <w:r>
              <w:rPr>
                <w:rFonts w:hint="eastAsia" w:ascii="仿宋_GB2312" w:hAnsi="仿宋_GB2312" w:eastAsia="仿宋_GB2312" w:cs="仿宋_GB2312"/>
                <w:b/>
                <w:sz w:val="24"/>
                <w:szCs w:val="24"/>
                <w:highlight w:val="none"/>
                <w:lang w:val="en-US" w:eastAsia="zh-CN"/>
              </w:rPr>
              <w:t>4</w:t>
            </w:r>
            <w:r>
              <w:rPr>
                <w:rFonts w:hint="eastAsia" w:ascii="仿宋_GB2312" w:hAnsi="仿宋_GB2312" w:eastAsia="仿宋_GB2312" w:cs="仿宋_GB2312"/>
                <w:b/>
                <w:sz w:val="24"/>
                <w:szCs w:val="24"/>
                <w:highlight w:val="none"/>
              </w:rPr>
              <w:t>年度</w:t>
            </w:r>
          </w:p>
        </w:tc>
        <w:tc>
          <w:tcPr>
            <w:tcW w:w="2364" w:type="dxa"/>
            <w:vAlign w:val="center"/>
          </w:tcPr>
          <w:p>
            <w:pPr>
              <w:spacing w:line="520" w:lineRule="exact"/>
              <w:jc w:val="center"/>
              <w:rPr>
                <w:rFonts w:ascii="仿宋_GB2312" w:hAnsi="仿宋_GB2312" w:eastAsia="仿宋_GB2312" w:cs="仿宋_GB2312"/>
                <w:b/>
                <w:sz w:val="24"/>
                <w:szCs w:val="24"/>
                <w:highlight w:val="none"/>
              </w:rPr>
            </w:pPr>
            <w:r>
              <w:rPr>
                <w:rFonts w:hint="eastAsia" w:ascii="仿宋_GB2312" w:hAnsi="仿宋_GB2312" w:eastAsia="仿宋_GB2312" w:cs="仿宋_GB2312"/>
                <w:b/>
                <w:sz w:val="24"/>
                <w:szCs w:val="24"/>
                <w:highlight w:val="none"/>
              </w:rPr>
              <w:t>202</w:t>
            </w:r>
            <w:r>
              <w:rPr>
                <w:rFonts w:hint="eastAsia" w:ascii="仿宋_GB2312" w:hAnsi="仿宋_GB2312" w:eastAsia="仿宋_GB2312" w:cs="仿宋_GB2312"/>
                <w:b/>
                <w:sz w:val="24"/>
                <w:szCs w:val="24"/>
                <w:highlight w:val="none"/>
                <w:lang w:val="en-US" w:eastAsia="zh-CN"/>
              </w:rPr>
              <w:t>3</w:t>
            </w:r>
            <w:r>
              <w:rPr>
                <w:rFonts w:hint="eastAsia" w:ascii="仿宋_GB2312" w:hAnsi="仿宋_GB2312" w:eastAsia="仿宋_GB2312" w:cs="仿宋_GB2312"/>
                <w:b/>
                <w:sz w:val="24"/>
                <w:szCs w:val="24"/>
                <w:highlight w:val="none"/>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5"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期初余额</w:t>
            </w:r>
          </w:p>
        </w:tc>
        <w:tc>
          <w:tcPr>
            <w:tcW w:w="2531"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31974</w:t>
            </w:r>
          </w:p>
        </w:tc>
        <w:tc>
          <w:tcPr>
            <w:tcW w:w="2364"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24958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975"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本期计提</w:t>
            </w:r>
          </w:p>
        </w:tc>
        <w:tc>
          <w:tcPr>
            <w:tcW w:w="2531"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11521</w:t>
            </w:r>
          </w:p>
        </w:tc>
        <w:tc>
          <w:tcPr>
            <w:tcW w:w="2364"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12463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975"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本期收回</w:t>
            </w:r>
          </w:p>
        </w:tc>
        <w:tc>
          <w:tcPr>
            <w:tcW w:w="2531"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c>
          <w:tcPr>
            <w:tcW w:w="2364"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5"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收回以前年度核销贷款</w:t>
            </w:r>
          </w:p>
        </w:tc>
        <w:tc>
          <w:tcPr>
            <w:tcW w:w="2531" w:type="dxa"/>
            <w:vAlign w:val="top"/>
          </w:tcPr>
          <w:p>
            <w:pPr>
              <w:spacing w:line="520" w:lineRule="exact"/>
              <w:jc w:val="center"/>
              <w:rPr>
                <w:rFonts w:ascii="仿宋_GB2312" w:hAnsi="仿宋_GB2312" w:eastAsia="仿宋_GB2312" w:cs="仿宋_GB2312"/>
                <w:color w:val="000000" w:themeColor="text1"/>
                <w:sz w:val="24"/>
                <w:szCs w:val="24"/>
                <w:highlight w:val="none"/>
              </w:rPr>
            </w:pPr>
            <w:r>
              <w:rPr>
                <w:rFonts w:hint="eastAsia" w:ascii="仿宋_GB2312" w:hAnsi="仿宋_GB2312" w:eastAsia="仿宋_GB2312" w:cs="仿宋_GB2312"/>
                <w:color w:val="000000" w:themeColor="text1"/>
                <w:sz w:val="24"/>
                <w:szCs w:val="24"/>
                <w:highlight w:val="none"/>
                <w:lang w:val="en-US" w:eastAsia="zh-CN"/>
              </w:rPr>
              <w:t>1910</w:t>
            </w:r>
          </w:p>
        </w:tc>
        <w:tc>
          <w:tcPr>
            <w:tcW w:w="2364"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themeColor="text1"/>
                <w:sz w:val="24"/>
                <w:szCs w:val="24"/>
                <w:highlight w:val="none"/>
              </w:rPr>
              <w:t>1546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5"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本期内核销</w:t>
            </w:r>
          </w:p>
        </w:tc>
        <w:tc>
          <w:tcPr>
            <w:tcW w:w="2531"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10655</w:t>
            </w:r>
          </w:p>
        </w:tc>
        <w:tc>
          <w:tcPr>
            <w:tcW w:w="2364"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5" w:type="dxa"/>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其他变动</w:t>
            </w:r>
          </w:p>
        </w:tc>
        <w:tc>
          <w:tcPr>
            <w:tcW w:w="2531"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c>
          <w:tcPr>
            <w:tcW w:w="2364" w:type="dxa"/>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5" w:type="dxa"/>
            <w:tcBorders>
              <w:top w:val="single" w:color="auto" w:sz="4" w:space="0"/>
              <w:left w:val="single" w:color="auto" w:sz="4" w:space="0"/>
              <w:bottom w:val="single" w:color="auto" w:sz="4" w:space="0"/>
              <w:right w:val="single" w:color="auto" w:sz="4" w:space="0"/>
            </w:tcBorders>
          </w:tcPr>
          <w:p>
            <w:pPr>
              <w:spacing w:line="520" w:lineRule="exact"/>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期末余额</w:t>
            </w:r>
          </w:p>
        </w:tc>
        <w:tc>
          <w:tcPr>
            <w:tcW w:w="2531"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34749</w:t>
            </w:r>
          </w:p>
        </w:tc>
        <w:tc>
          <w:tcPr>
            <w:tcW w:w="2364" w:type="dxa"/>
            <w:tcBorders>
              <w:top w:val="single" w:color="auto" w:sz="4" w:space="0"/>
              <w:left w:val="single" w:color="auto" w:sz="4" w:space="0"/>
              <w:bottom w:val="single" w:color="auto" w:sz="4" w:space="0"/>
              <w:right w:val="single" w:color="auto" w:sz="4" w:space="0"/>
            </w:tcBorders>
            <w:vAlign w:val="top"/>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31974</w:t>
            </w:r>
          </w:p>
        </w:tc>
      </w:tr>
    </w:tbl>
    <w:p>
      <w:pPr>
        <w:numPr>
          <w:ilvl w:val="0"/>
          <w:numId w:val="12"/>
        </w:numPr>
        <w:spacing w:line="520" w:lineRule="exact"/>
        <w:ind w:firstLine="600"/>
        <w:rPr>
          <w:rFonts w:ascii="黑体" w:hAnsi="黑体" w:eastAsia="黑体"/>
          <w:sz w:val="32"/>
          <w:szCs w:val="32"/>
          <w:highlight w:val="none"/>
        </w:rPr>
      </w:pPr>
      <w:r>
        <w:rPr>
          <w:rFonts w:hint="eastAsia" w:ascii="黑体" w:hAnsi="黑体" w:eastAsia="黑体"/>
          <w:sz w:val="32"/>
          <w:szCs w:val="32"/>
          <w:highlight w:val="none"/>
        </w:rPr>
        <w:t>各类风险管理状况的讨论与分析</w:t>
      </w:r>
    </w:p>
    <w:p>
      <w:pPr>
        <w:spacing w:line="520" w:lineRule="exact"/>
        <w:ind w:firstLine="640" w:firstLineChars="200"/>
        <w:rPr>
          <w:rFonts w:ascii="仿宋_GB2312" w:hAnsi="仿宋" w:eastAsia="仿宋_GB2312" w:cs="仿宋_GB2312"/>
          <w:sz w:val="32"/>
          <w:szCs w:val="32"/>
          <w:highlight w:val="none"/>
        </w:rPr>
      </w:pPr>
      <w:r>
        <w:rPr>
          <w:rFonts w:hint="eastAsia" w:ascii="仿宋_GB2312" w:hAnsi="Times New Roman" w:eastAsia="仿宋_GB2312"/>
          <w:sz w:val="32"/>
          <w:szCs w:val="32"/>
          <w:highlight w:val="none"/>
          <w:lang w:eastAsia="zh-CN"/>
        </w:rPr>
        <w:t>本社</w:t>
      </w:r>
      <w:r>
        <w:rPr>
          <w:rFonts w:hint="eastAsia" w:ascii="仿宋_GB2312" w:hAnsi="Times New Roman" w:eastAsia="仿宋_GB2312"/>
          <w:sz w:val="32"/>
          <w:szCs w:val="32"/>
          <w:highlight w:val="none"/>
        </w:rPr>
        <w:t>根据公司治理相关要求,建立全面风险管理的组织架构，理事会、监事会、经营管理层各司其职；</w:t>
      </w:r>
      <w:r>
        <w:rPr>
          <w:rFonts w:hint="eastAsia" w:ascii="仿宋_GB2312" w:hAnsi="Times New Roman" w:eastAsia="仿宋_GB2312"/>
          <w:color w:val="000000"/>
          <w:sz w:val="32"/>
          <w:szCs w:val="32"/>
          <w:highlight w:val="none"/>
        </w:rPr>
        <w:t>理事会下设风险管理委员会、金融消费者权益保护委员会、关联交易控制委员会、合规管理委员会。设置</w:t>
      </w:r>
      <w:r>
        <w:rPr>
          <w:rFonts w:hint="eastAsia" w:ascii="仿宋_GB2312" w:hAnsi="仿宋" w:eastAsia="仿宋_GB2312" w:cs="仿宋_GB2312"/>
          <w:sz w:val="32"/>
          <w:szCs w:val="32"/>
          <w:highlight w:val="none"/>
          <w:lang w:eastAsia="zh-CN"/>
        </w:rPr>
        <w:t>运营管理部、</w:t>
      </w:r>
      <w:r>
        <w:rPr>
          <w:rFonts w:hint="eastAsia" w:ascii="仿宋_GB2312" w:hAnsi="仿宋" w:eastAsia="仿宋_GB2312" w:cs="仿宋_GB2312"/>
          <w:sz w:val="32"/>
          <w:szCs w:val="32"/>
          <w:highlight w:val="none"/>
        </w:rPr>
        <w:t>普惠金融部、金融市场部等部门为前台风险管理部门；设置</w:t>
      </w:r>
      <w:r>
        <w:rPr>
          <w:rFonts w:hint="eastAsia" w:ascii="仿宋_GB2312" w:hAnsi="Times New Roman" w:eastAsia="仿宋_GB2312"/>
          <w:sz w:val="32"/>
          <w:szCs w:val="32"/>
          <w:highlight w:val="none"/>
        </w:rPr>
        <w:t>合</w:t>
      </w:r>
      <w:r>
        <w:rPr>
          <w:rFonts w:hint="eastAsia" w:ascii="仿宋_GB2312" w:hAnsi="仿宋" w:eastAsia="仿宋_GB2312" w:cs="仿宋_GB2312"/>
          <w:sz w:val="32"/>
          <w:szCs w:val="32"/>
          <w:highlight w:val="none"/>
        </w:rPr>
        <w:t>规与风险管理部为中台风险管理部门；设置</w:t>
      </w:r>
      <w:r>
        <w:rPr>
          <w:rFonts w:hint="eastAsia" w:ascii="仿宋_GB2312" w:hAnsi="仿宋" w:eastAsia="仿宋_GB2312" w:cs="仿宋_GB2312"/>
          <w:sz w:val="32"/>
          <w:szCs w:val="32"/>
          <w:highlight w:val="none"/>
          <w:lang w:eastAsia="zh-CN"/>
        </w:rPr>
        <w:t>财务会计部、</w:t>
      </w:r>
      <w:r>
        <w:rPr>
          <w:rFonts w:hint="eastAsia" w:ascii="仿宋_GB2312" w:hAnsi="Times New Roman" w:eastAsia="仿宋_GB2312"/>
          <w:color w:val="000000"/>
          <w:sz w:val="32"/>
          <w:szCs w:val="32"/>
          <w:highlight w:val="none"/>
        </w:rPr>
        <w:t>审计部、安全保卫部、</w:t>
      </w:r>
      <w:r>
        <w:rPr>
          <w:rFonts w:hint="eastAsia" w:ascii="仿宋_GB2312" w:hAnsi="仿宋" w:eastAsia="仿宋_GB2312" w:cs="仿宋_GB2312"/>
          <w:sz w:val="32"/>
          <w:szCs w:val="32"/>
          <w:highlight w:val="none"/>
        </w:rPr>
        <w:t>综合管理部、信息科技部、党群工作部</w:t>
      </w:r>
      <w:r>
        <w:rPr>
          <w:rFonts w:hint="eastAsia" w:ascii="仿宋_GB2312" w:hAnsi="Times New Roman" w:eastAsia="仿宋_GB2312"/>
          <w:color w:val="000000"/>
          <w:sz w:val="32"/>
          <w:szCs w:val="32"/>
          <w:highlight w:val="none"/>
        </w:rPr>
        <w:t>为后台风险管理部门。</w:t>
      </w:r>
      <w:r>
        <w:rPr>
          <w:rFonts w:hint="eastAsia" w:ascii="仿宋_GB2312" w:hAnsi="仿宋" w:eastAsia="仿宋_GB2312" w:cs="仿宋_GB2312"/>
          <w:sz w:val="32"/>
          <w:szCs w:val="32"/>
          <w:highlight w:val="none"/>
        </w:rPr>
        <w:t>前台经办人员均有设置A、B岗，人员配备齐全。其中信用风险、法律合规风险由合规与风险管理部负责，配备人员</w:t>
      </w:r>
      <w:r>
        <w:rPr>
          <w:rFonts w:hint="eastAsia" w:ascii="仿宋_GB2312" w:hAnsi="仿宋" w:eastAsia="仿宋_GB2312" w:cs="仿宋_GB2312"/>
          <w:sz w:val="32"/>
          <w:szCs w:val="32"/>
          <w:highlight w:val="none"/>
          <w:lang w:val="en-US" w:eastAsia="zh-CN"/>
        </w:rPr>
        <w:t>6</w:t>
      </w:r>
      <w:r>
        <w:rPr>
          <w:rFonts w:hint="eastAsia" w:ascii="仿宋_GB2312" w:hAnsi="仿宋" w:eastAsia="仿宋_GB2312" w:cs="仿宋_GB2312"/>
          <w:sz w:val="32"/>
          <w:szCs w:val="32"/>
          <w:highlight w:val="none"/>
        </w:rPr>
        <w:t>人；流动性风险、操作风险由</w:t>
      </w:r>
      <w:r>
        <w:rPr>
          <w:rFonts w:hint="eastAsia" w:ascii="仿宋_GB2312" w:hAnsi="仿宋" w:eastAsia="仿宋_GB2312" w:cs="仿宋_GB2312"/>
          <w:sz w:val="32"/>
          <w:szCs w:val="32"/>
          <w:highlight w:val="none"/>
          <w:lang w:val="en-US" w:eastAsia="zh-CN"/>
        </w:rPr>
        <w:t>运营管理</w:t>
      </w:r>
      <w:r>
        <w:rPr>
          <w:rFonts w:hint="eastAsia" w:ascii="仿宋_GB2312" w:hAnsi="仿宋" w:eastAsia="仿宋_GB2312" w:cs="仿宋_GB2312"/>
          <w:sz w:val="32"/>
          <w:szCs w:val="32"/>
          <w:highlight w:val="none"/>
        </w:rPr>
        <w:t>部负责，配备人员</w:t>
      </w:r>
      <w:r>
        <w:rPr>
          <w:rFonts w:hint="eastAsia" w:ascii="仿宋_GB2312" w:hAnsi="仿宋" w:eastAsia="仿宋_GB2312" w:cs="仿宋_GB2312"/>
          <w:sz w:val="32"/>
          <w:szCs w:val="32"/>
          <w:highlight w:val="none"/>
          <w:lang w:val="en-US" w:eastAsia="zh-CN"/>
        </w:rPr>
        <w:t>5</w:t>
      </w:r>
      <w:r>
        <w:rPr>
          <w:rFonts w:hint="eastAsia" w:ascii="仿宋_GB2312" w:hAnsi="仿宋" w:eastAsia="仿宋_GB2312" w:cs="仿宋_GB2312"/>
          <w:sz w:val="32"/>
          <w:szCs w:val="32"/>
          <w:highlight w:val="none"/>
        </w:rPr>
        <w:t>人；市场风险由金融市场部负责，配备人员</w:t>
      </w:r>
      <w:r>
        <w:rPr>
          <w:rFonts w:hint="eastAsia" w:ascii="仿宋_GB2312" w:hAnsi="仿宋" w:eastAsia="仿宋_GB2312" w:cs="仿宋_GB2312"/>
          <w:sz w:val="32"/>
          <w:szCs w:val="32"/>
          <w:highlight w:val="none"/>
          <w:lang w:val="en-US" w:eastAsia="zh-CN"/>
        </w:rPr>
        <w:t>2</w:t>
      </w:r>
      <w:r>
        <w:rPr>
          <w:rFonts w:hint="eastAsia" w:ascii="仿宋_GB2312" w:hAnsi="仿宋" w:eastAsia="仿宋_GB2312" w:cs="仿宋_GB2312"/>
          <w:sz w:val="32"/>
          <w:szCs w:val="32"/>
          <w:highlight w:val="none"/>
        </w:rPr>
        <w:t>人；信息科技风险由信息科技部负责，配备人员2人；声誉风险由综合管理部负责，配备人员3人。</w:t>
      </w:r>
      <w:r>
        <w:rPr>
          <w:rFonts w:hint="eastAsia" w:ascii="仿宋_GB2312" w:hAnsi="宋体" w:eastAsia="仿宋_GB2312" w:cs="仿宋_GB2312"/>
          <w:sz w:val="32"/>
          <w:szCs w:val="32"/>
          <w:highlight w:val="none"/>
        </w:rPr>
        <w:t>根据《福建省农村信用社联合社关于印发＜法人行社机关职能部门及专营部门设置的指导意见＞的通知》（闽农信</w:t>
      </w:r>
      <w:r>
        <w:rPr>
          <w:rFonts w:hint="eastAsia" w:ascii="仿宋_GB2312" w:hAnsi="仿宋_GB2312" w:eastAsia="仿宋_GB2312" w:cs="仿宋_GB2312"/>
          <w:sz w:val="32"/>
          <w:szCs w:val="32"/>
          <w:highlight w:val="none"/>
        </w:rPr>
        <w:t>〔</w:t>
      </w:r>
      <w:r>
        <w:rPr>
          <w:rFonts w:hint="eastAsia" w:ascii="仿宋_GB2312" w:hAnsi="宋体" w:eastAsia="仿宋_GB2312" w:cs="仿宋_GB2312"/>
          <w:sz w:val="32"/>
          <w:szCs w:val="32"/>
          <w:highlight w:val="none"/>
        </w:rPr>
        <w:t>2022</w:t>
      </w:r>
      <w:r>
        <w:rPr>
          <w:rFonts w:hint="eastAsia" w:ascii="仿宋_GB2312" w:hAnsi="仿宋_GB2312" w:eastAsia="仿宋_GB2312" w:cs="仿宋_GB2312"/>
          <w:sz w:val="32"/>
          <w:szCs w:val="32"/>
          <w:highlight w:val="none"/>
        </w:rPr>
        <w:t>〕</w:t>
      </w:r>
      <w:r>
        <w:rPr>
          <w:rFonts w:hint="eastAsia" w:ascii="仿宋_GB2312" w:hAnsi="宋体" w:eastAsia="仿宋_GB2312" w:cs="仿宋_GB2312"/>
          <w:sz w:val="32"/>
          <w:szCs w:val="32"/>
          <w:highlight w:val="none"/>
        </w:rPr>
        <w:t>337号）文件要求，结合我县实际，经联社党委会研究，</w:t>
      </w:r>
      <w:r>
        <w:rPr>
          <w:rFonts w:hint="eastAsia" w:ascii="仿宋_GB2312" w:hAnsi="宋体" w:eastAsia="仿宋_GB2312" w:cs="仿宋_GB2312"/>
          <w:sz w:val="32"/>
          <w:szCs w:val="32"/>
          <w:highlight w:val="none"/>
          <w:lang w:val="en-US" w:eastAsia="zh-CN"/>
        </w:rPr>
        <w:t>修订</w:t>
      </w:r>
      <w:r>
        <w:rPr>
          <w:rFonts w:hint="eastAsia" w:ascii="仿宋_GB2312" w:hAnsi="宋体" w:eastAsia="仿宋_GB2312" w:cs="仿宋_GB2312"/>
          <w:sz w:val="32"/>
          <w:szCs w:val="32"/>
          <w:highlight w:val="none"/>
        </w:rPr>
        <w:t>了《连城县农村信用合作联社</w:t>
      </w:r>
      <w:r>
        <w:rPr>
          <w:rFonts w:hint="eastAsia" w:ascii="仿宋_GB2312" w:hAnsi="宋体" w:eastAsia="仿宋_GB2312" w:cs="仿宋_GB2312"/>
          <w:sz w:val="32"/>
          <w:szCs w:val="32"/>
          <w:highlight w:val="none"/>
          <w:lang w:val="en-US" w:eastAsia="zh-CN"/>
        </w:rPr>
        <w:t>关于调整部分机关部门设置的通知</w:t>
      </w:r>
      <w:r>
        <w:rPr>
          <w:rFonts w:hint="eastAsia" w:ascii="仿宋_GB2312" w:hAnsi="宋体" w:eastAsia="仿宋_GB2312" w:cs="仿宋_GB2312"/>
          <w:sz w:val="32"/>
          <w:szCs w:val="32"/>
          <w:highlight w:val="none"/>
        </w:rPr>
        <w:t>》</w:t>
      </w:r>
      <w:r>
        <w:rPr>
          <w:rFonts w:hint="eastAsia" w:ascii="仿宋_GB2312" w:hAnsi="仿宋" w:eastAsia="仿宋_GB2312" w:cs="仿宋_GB2312"/>
          <w:sz w:val="32"/>
          <w:szCs w:val="32"/>
          <w:highlight w:val="none"/>
        </w:rPr>
        <w:t>（连农信〔202</w:t>
      </w:r>
      <w:r>
        <w:rPr>
          <w:rFonts w:hint="eastAsia" w:ascii="仿宋_GB2312" w:hAnsi="仿宋" w:eastAsia="仿宋_GB2312" w:cs="仿宋_GB2312"/>
          <w:sz w:val="32"/>
          <w:szCs w:val="32"/>
          <w:highlight w:val="none"/>
          <w:lang w:val="en-US" w:eastAsia="zh-CN"/>
        </w:rPr>
        <w:t>4</w:t>
      </w:r>
      <w:r>
        <w:rPr>
          <w:rFonts w:hint="eastAsia" w:ascii="仿宋_GB2312" w:hAnsi="仿宋" w:eastAsia="仿宋_GB2312" w:cs="仿宋_GB2312"/>
          <w:sz w:val="32"/>
          <w:szCs w:val="32"/>
          <w:highlight w:val="none"/>
        </w:rPr>
        <w:t>〕2</w:t>
      </w:r>
      <w:r>
        <w:rPr>
          <w:rFonts w:hint="eastAsia" w:ascii="仿宋_GB2312" w:hAnsi="仿宋" w:eastAsia="仿宋_GB2312" w:cs="仿宋_GB2312"/>
          <w:sz w:val="32"/>
          <w:szCs w:val="32"/>
          <w:highlight w:val="none"/>
          <w:lang w:val="en-US" w:eastAsia="zh-CN"/>
        </w:rPr>
        <w:t>4</w:t>
      </w:r>
      <w:r>
        <w:rPr>
          <w:rFonts w:hint="eastAsia" w:ascii="仿宋_GB2312" w:hAnsi="仿宋" w:eastAsia="仿宋_GB2312" w:cs="仿宋_GB2312"/>
          <w:sz w:val="32"/>
          <w:szCs w:val="32"/>
          <w:highlight w:val="none"/>
        </w:rPr>
        <w:t>号），明确各部门工作职责。</w:t>
      </w:r>
    </w:p>
    <w:p>
      <w:pPr>
        <w:numPr>
          <w:ilvl w:val="0"/>
          <w:numId w:val="13"/>
        </w:numPr>
        <w:spacing w:line="520" w:lineRule="exact"/>
        <w:ind w:firstLine="642" w:firstLineChars="200"/>
        <w:rPr>
          <w:rFonts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信用风险状况分析</w:t>
      </w:r>
    </w:p>
    <w:p>
      <w:pPr>
        <w:spacing w:line="520" w:lineRule="exact"/>
        <w:ind w:firstLine="642"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1.信用风险管理基本情况</w:t>
      </w:r>
    </w:p>
    <w:p>
      <w:pPr>
        <w:spacing w:line="52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的主要业务活动包括贷款、债券投资、担保、承诺等，其中，贷款业务是信用风险暴露最为集中的领域。</w:t>
      </w:r>
    </w:p>
    <w:p>
      <w:pPr>
        <w:spacing w:line="52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根据各时期经营及风险变化情况，及时制定、修改和完善风险管理制度。审慎新增大额贷款，加强多头授信管理，设置授信额度上限，严控3家及以上金融机构的多头授信；严禁信贷资金违规流入房市、股市等</w:t>
      </w:r>
      <w:r>
        <w:rPr>
          <w:rFonts w:hint="eastAsia" w:ascii="仿宋_GB2312" w:hAnsi="仿宋_GB2312" w:eastAsia="仿宋_GB2312" w:cs="仿宋_GB2312"/>
          <w:sz w:val="32"/>
          <w:szCs w:val="32"/>
          <w:highlight w:val="none"/>
          <w:lang w:val="en-US" w:eastAsia="zh-CN"/>
        </w:rPr>
        <w:t>限制性</w:t>
      </w:r>
      <w:r>
        <w:rPr>
          <w:rFonts w:hint="eastAsia" w:ascii="仿宋_GB2312" w:hAnsi="仿宋_GB2312" w:eastAsia="仿宋_GB2312" w:cs="仿宋_GB2312"/>
          <w:sz w:val="32"/>
          <w:szCs w:val="32"/>
          <w:highlight w:val="none"/>
        </w:rPr>
        <w:t>领域。</w:t>
      </w:r>
    </w:p>
    <w:p>
      <w:pPr>
        <w:spacing w:line="520" w:lineRule="exact"/>
        <w:ind w:firstLine="640" w:firstLineChars="200"/>
        <w:rPr>
          <w:rFonts w:eastAsia="仿宋_GB2312"/>
          <w:sz w:val="32"/>
          <w:szCs w:val="32"/>
          <w:highlight w:val="none"/>
        </w:rPr>
      </w:pPr>
      <w:r>
        <w:rPr>
          <w:rFonts w:hint="eastAsia" w:eastAsia="仿宋_GB2312"/>
          <w:sz w:val="32"/>
          <w:szCs w:val="32"/>
          <w:highlight w:val="none"/>
          <w:lang w:eastAsia="zh-CN"/>
        </w:rPr>
        <w:t>本社</w:t>
      </w:r>
      <w:r>
        <w:rPr>
          <w:rFonts w:hint="eastAsia" w:eastAsia="仿宋_GB2312"/>
          <w:sz w:val="32"/>
          <w:szCs w:val="32"/>
          <w:highlight w:val="none"/>
        </w:rPr>
        <w:t>设立风险管理委员会，其工作向理事会负责。负责制定和审查信用风险管理策略，掌握整体信用风险状况，并监督风险管理工作的执行。合规与风险管理部负责制定信用风险管理政策、监督风险情况并提出管理建议。及时与各业务条线、内部审计部门保持密切部门协作，开展有效的风险控制。各业务条线负责具体的业务开展，并按照风险管理政策的要求进行操作。</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lang w:eastAsia="zh-CN"/>
        </w:rPr>
        <w:t>本社</w:t>
      </w:r>
      <w:r>
        <w:rPr>
          <w:rFonts w:hint="eastAsia" w:ascii="仿宋_GB2312" w:hAnsi="Times New Roman" w:eastAsia="仿宋_GB2312" w:cs="Times New Roman"/>
          <w:sz w:val="32"/>
          <w:szCs w:val="32"/>
          <w:highlight w:val="none"/>
        </w:rPr>
        <w:t>根</w:t>
      </w:r>
      <w:r>
        <w:rPr>
          <w:rFonts w:hint="eastAsia" w:ascii="仿宋_GB2312" w:hAnsi="仿宋" w:eastAsia="仿宋_GB2312" w:cs="Times New Roman"/>
          <w:sz w:val="32"/>
          <w:szCs w:val="32"/>
          <w:highlight w:val="none"/>
        </w:rPr>
        <w:t>据《商业银行金融资产风险分类办法》（中国银行保险监督管理委员会 中国人民银行令〔2023〕第1号）《福建农信信贷资产风险分类管理办法（2023年修订版）》及相关制度规定，制定《连城县农村信用合作联社信贷资产风险分类管理办法（2023年修订版）》，</w:t>
      </w:r>
      <w:r>
        <w:rPr>
          <w:rFonts w:hint="eastAsia" w:ascii="仿宋_GB2312" w:hAnsi="仿宋" w:eastAsia="仿宋_GB2312"/>
          <w:sz w:val="32"/>
          <w:szCs w:val="32"/>
          <w:highlight w:val="none"/>
        </w:rPr>
        <w:t>通过现场和非现场相结合的方式，从债务人财务、现金流量、非财务和担保等不同方面进行科学分析，注重第一还款来源分析，对影响债务人履约能力的各类因素进行评估，作为判定信贷资产风险分类的主要依据。</w:t>
      </w:r>
      <w:r>
        <w:rPr>
          <w:rFonts w:hint="eastAsia" w:ascii="仿宋_GB2312" w:hAnsi="仿宋" w:eastAsia="仿宋_GB2312" w:cs="Times New Roman"/>
          <w:sz w:val="32"/>
          <w:szCs w:val="32"/>
          <w:highlight w:val="none"/>
        </w:rPr>
        <w:t>将</w:t>
      </w:r>
      <w:r>
        <w:rPr>
          <w:rFonts w:hint="eastAsia" w:ascii="仿宋_GB2312" w:hAnsi="仿宋" w:eastAsia="仿宋_GB2312"/>
          <w:sz w:val="32"/>
          <w:szCs w:val="32"/>
          <w:highlight w:val="none"/>
        </w:rPr>
        <w:t>信贷资产按照风险程度分为五类，分别为正常类、关注类、次级类、可疑类、损失类。</w:t>
      </w:r>
    </w:p>
    <w:p>
      <w:pPr>
        <w:spacing w:line="520" w:lineRule="exact"/>
        <w:ind w:firstLine="640" w:firstLineChars="200"/>
        <w:rPr>
          <w:rFonts w:eastAsia="仿宋_GB2312"/>
          <w:sz w:val="32"/>
          <w:szCs w:val="32"/>
          <w:highlight w:val="none"/>
        </w:rPr>
      </w:pPr>
      <w:r>
        <w:rPr>
          <w:rFonts w:hint="eastAsia" w:ascii="仿宋_GB2312" w:hAnsi="仿宋" w:eastAsia="仿宋_GB2312" w:cs="仿宋_GB2312"/>
          <w:bCs/>
          <w:sz w:val="32"/>
          <w:szCs w:val="32"/>
          <w:highlight w:val="none"/>
          <w:lang w:eastAsia="zh-CN"/>
        </w:rPr>
        <w:t>本社</w:t>
      </w:r>
      <w:r>
        <w:rPr>
          <w:rFonts w:ascii="仿宋_GB2312" w:hAnsi="仿宋" w:eastAsia="仿宋_GB2312" w:cs="仿宋_GB2312"/>
          <w:bCs/>
          <w:sz w:val="32"/>
          <w:szCs w:val="32"/>
          <w:highlight w:val="none"/>
        </w:rPr>
        <w:t>依托省联社开发</w:t>
      </w:r>
      <w:r>
        <w:rPr>
          <w:rFonts w:hint="eastAsia" w:ascii="仿宋_GB2312" w:hAnsi="仿宋" w:eastAsia="仿宋_GB2312" w:cs="仿宋_GB2312"/>
          <w:bCs/>
          <w:sz w:val="32"/>
          <w:szCs w:val="32"/>
          <w:highlight w:val="none"/>
        </w:rPr>
        <w:t>的估值减值测算系统，基于新金融工具准则</w:t>
      </w:r>
      <w:r>
        <w:rPr>
          <w:rFonts w:ascii="仿宋_GB2312" w:hAnsi="仿宋" w:eastAsia="仿宋_GB2312" w:cs="仿宋_GB2312"/>
          <w:bCs/>
          <w:sz w:val="32"/>
          <w:szCs w:val="32"/>
          <w:highlight w:val="none"/>
        </w:rPr>
        <w:t>对公允价值和减值的计量要求，建立估值模型和预期信用损失减值模型，</w:t>
      </w:r>
      <w:r>
        <w:rPr>
          <w:rFonts w:hint="eastAsia" w:ascii="仿宋_GB2312" w:hAnsi="仿宋" w:eastAsia="仿宋_GB2312" w:cs="仿宋_GB2312"/>
          <w:bCs/>
          <w:sz w:val="32"/>
          <w:szCs w:val="32"/>
          <w:highlight w:val="none"/>
        </w:rPr>
        <w:t>对所承担的预期信用损失进行评估，</w:t>
      </w:r>
      <w:r>
        <w:rPr>
          <w:rFonts w:ascii="仿宋_GB2312" w:hAnsi="仿宋" w:eastAsia="仿宋_GB2312" w:cs="仿宋_GB2312"/>
          <w:bCs/>
          <w:sz w:val="32"/>
          <w:szCs w:val="32"/>
          <w:highlight w:val="none"/>
        </w:rPr>
        <w:t>实现新准则下估值和减值</w:t>
      </w:r>
      <w:r>
        <w:rPr>
          <w:rFonts w:hint="eastAsia" w:ascii="仿宋_GB2312" w:hAnsi="仿宋" w:eastAsia="仿宋_GB2312" w:cs="仿宋_GB2312"/>
          <w:bCs/>
          <w:sz w:val="32"/>
          <w:szCs w:val="32"/>
          <w:highlight w:val="none"/>
        </w:rPr>
        <w:t>的自动计算，并依此计提信用风险损失准备。</w:t>
      </w:r>
      <w:r>
        <w:rPr>
          <w:rFonts w:hint="eastAsia" w:ascii="仿宋_GB2312" w:hAnsi="仿宋" w:eastAsia="仿宋_GB2312" w:cs="仿宋_GB2312"/>
          <w:bCs/>
          <w:sz w:val="32"/>
          <w:szCs w:val="32"/>
          <w:highlight w:val="none"/>
          <w:lang w:eastAsia="zh-CN"/>
        </w:rPr>
        <w:t>本社</w:t>
      </w:r>
      <w:r>
        <w:rPr>
          <w:rFonts w:hint="eastAsia" w:ascii="仿宋_GB2312" w:hAnsi="仿宋" w:eastAsia="仿宋_GB2312" w:cs="仿宋_GB2312"/>
          <w:bCs/>
          <w:sz w:val="32"/>
          <w:szCs w:val="32"/>
          <w:highlight w:val="none"/>
        </w:rPr>
        <w:t>在省联社模型参考方案的基础上制定了管理层叠加、前瞻性系数调整等策略，形成了符合</w:t>
      </w:r>
      <w:r>
        <w:rPr>
          <w:rFonts w:hint="eastAsia" w:ascii="仿宋_GB2312" w:hAnsi="仿宋" w:eastAsia="仿宋_GB2312" w:cs="仿宋_GB2312"/>
          <w:bCs/>
          <w:sz w:val="32"/>
          <w:szCs w:val="32"/>
          <w:highlight w:val="none"/>
          <w:lang w:eastAsia="zh-CN"/>
        </w:rPr>
        <w:t>本社</w:t>
      </w:r>
      <w:r>
        <w:rPr>
          <w:rFonts w:hint="eastAsia" w:ascii="仿宋_GB2312" w:hAnsi="仿宋" w:eastAsia="仿宋_GB2312" w:cs="仿宋_GB2312"/>
          <w:bCs/>
          <w:sz w:val="32"/>
          <w:szCs w:val="32"/>
          <w:highlight w:val="none"/>
        </w:rPr>
        <w:t>实际情况的个性化方案，从而实现了差异化模型计量。</w:t>
      </w:r>
      <w:r>
        <w:rPr>
          <w:rFonts w:hint="eastAsia" w:ascii="仿宋_GB2312" w:hAnsi="仿宋" w:eastAsia="仿宋_GB2312"/>
          <w:sz w:val="32"/>
          <w:szCs w:val="32"/>
          <w:highlight w:val="none"/>
        </w:rPr>
        <w:t>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年末，</w:t>
      </w:r>
      <w:r>
        <w:rPr>
          <w:rFonts w:hint="eastAsia" w:ascii="仿宋_GB2312" w:hAnsi="仿宋" w:eastAsia="仿宋_GB2312"/>
          <w:sz w:val="32"/>
          <w:szCs w:val="32"/>
          <w:highlight w:val="none"/>
          <w:lang w:eastAsia="zh-CN"/>
        </w:rPr>
        <w:t>本社</w:t>
      </w:r>
      <w:r>
        <w:rPr>
          <w:rFonts w:hint="eastAsia" w:ascii="仿宋_GB2312" w:hAnsi="仿宋" w:eastAsia="仿宋_GB2312"/>
          <w:sz w:val="32"/>
          <w:szCs w:val="32"/>
          <w:highlight w:val="none"/>
        </w:rPr>
        <w:t>表内贷款损失准备为</w:t>
      </w:r>
      <w:r>
        <w:rPr>
          <w:rFonts w:hint="eastAsia" w:ascii="仿宋_GB2312" w:hAnsi="仿宋" w:eastAsia="仿宋_GB2312"/>
          <w:sz w:val="32"/>
          <w:szCs w:val="32"/>
          <w:highlight w:val="none"/>
          <w:lang w:val="en-US" w:eastAsia="zh-CN"/>
        </w:rPr>
        <w:t>34749</w:t>
      </w:r>
      <w:r>
        <w:rPr>
          <w:rFonts w:hint="eastAsia" w:ascii="仿宋_GB2312" w:hAnsi="仿宋" w:eastAsia="仿宋_GB2312"/>
          <w:sz w:val="32"/>
          <w:szCs w:val="32"/>
          <w:highlight w:val="none"/>
        </w:rPr>
        <w:t>万元，应提非信贷金融资产损失准备为</w:t>
      </w:r>
      <w:r>
        <w:rPr>
          <w:rFonts w:ascii="仿宋_GB2312" w:hAnsi="仿宋" w:eastAsia="仿宋_GB2312"/>
          <w:sz w:val="32"/>
          <w:szCs w:val="32"/>
          <w:highlight w:val="none"/>
        </w:rPr>
        <w:t>10</w:t>
      </w:r>
      <w:r>
        <w:rPr>
          <w:rFonts w:hint="eastAsia" w:ascii="仿宋_GB2312" w:hAnsi="仿宋" w:eastAsia="仿宋_GB2312"/>
          <w:sz w:val="32"/>
          <w:szCs w:val="32"/>
          <w:highlight w:val="none"/>
          <w:lang w:val="en-US" w:eastAsia="zh-CN"/>
        </w:rPr>
        <w:t>70</w:t>
      </w:r>
      <w:r>
        <w:rPr>
          <w:rFonts w:hint="eastAsia" w:ascii="仿宋_GB2312" w:hAnsi="仿宋" w:eastAsia="仿宋_GB2312"/>
          <w:sz w:val="32"/>
          <w:szCs w:val="32"/>
          <w:highlight w:val="none"/>
        </w:rPr>
        <w:t>万元，应提表外业务损失准备为</w:t>
      </w:r>
      <w:r>
        <w:rPr>
          <w:rFonts w:hint="eastAsia" w:ascii="仿宋_GB2312" w:hAnsi="仿宋" w:eastAsia="仿宋_GB2312"/>
          <w:sz w:val="32"/>
          <w:szCs w:val="32"/>
          <w:highlight w:val="none"/>
          <w:lang w:val="en-US" w:eastAsia="zh-CN"/>
        </w:rPr>
        <w:t>228</w:t>
      </w:r>
      <w:r>
        <w:rPr>
          <w:rFonts w:hint="eastAsia" w:ascii="仿宋_GB2312" w:hAnsi="仿宋" w:eastAsia="仿宋_GB2312"/>
          <w:sz w:val="32"/>
          <w:szCs w:val="32"/>
          <w:highlight w:val="none"/>
        </w:rPr>
        <w:t>万元。</w:t>
      </w:r>
    </w:p>
    <w:p>
      <w:pPr>
        <w:numPr>
          <w:ilvl w:val="0"/>
          <w:numId w:val="0"/>
        </w:numPr>
        <w:spacing w:line="520" w:lineRule="exact"/>
        <w:ind w:firstLine="642" w:firstLineChars="200"/>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lang w:val="en-US" w:eastAsia="zh-CN"/>
        </w:rPr>
        <w:t>2.</w:t>
      </w:r>
      <w:r>
        <w:rPr>
          <w:rFonts w:hint="eastAsia" w:ascii="仿宋_GB2312" w:hAnsi="仿宋_GB2312" w:eastAsia="仿宋_GB2312" w:cs="仿宋_GB2312"/>
          <w:b/>
          <w:bCs/>
          <w:sz w:val="32"/>
          <w:szCs w:val="32"/>
          <w:highlight w:val="none"/>
        </w:rPr>
        <w:t>信用风险分布情况</w:t>
      </w:r>
    </w:p>
    <w:p>
      <w:pPr>
        <w:spacing w:line="520" w:lineRule="exact"/>
        <w:ind w:firstLine="627" w:firstLineChars="196"/>
        <w:rPr>
          <w:rFonts w:hint="eastAsia" w:eastAsia="仿宋_GB2312"/>
          <w:sz w:val="32"/>
          <w:szCs w:val="32"/>
          <w:highlight w:val="none"/>
          <w:lang w:eastAsia="zh-CN"/>
        </w:rPr>
      </w:pPr>
      <w:r>
        <w:rPr>
          <w:rFonts w:hint="eastAsia" w:ascii="仿宋_GB2312" w:hAnsi="黑体" w:eastAsia="仿宋_GB2312"/>
          <w:sz w:val="32"/>
          <w:szCs w:val="32"/>
          <w:highlight w:val="none"/>
          <w:lang w:eastAsia="zh-CN"/>
        </w:rPr>
        <w:t>截至</w:t>
      </w:r>
      <w:r>
        <w:rPr>
          <w:rFonts w:hint="eastAsia" w:ascii="仿宋_GB2312" w:hAnsi="黑体" w:eastAsia="仿宋_GB2312"/>
          <w:sz w:val="32"/>
          <w:szCs w:val="32"/>
          <w:highlight w:val="none"/>
        </w:rPr>
        <w:t>12月末，</w:t>
      </w:r>
      <w:r>
        <w:rPr>
          <w:rFonts w:hint="eastAsia" w:ascii="仿宋_GB2312" w:hAnsi="黑体" w:eastAsia="仿宋_GB2312"/>
          <w:sz w:val="32"/>
          <w:szCs w:val="32"/>
          <w:highlight w:val="none"/>
          <w:lang w:eastAsia="zh-CN"/>
        </w:rPr>
        <w:t>本社</w:t>
      </w:r>
      <w:r>
        <w:rPr>
          <w:rFonts w:hint="eastAsia" w:ascii="仿宋_GB2312" w:hAnsi="黑体" w:eastAsia="仿宋_GB2312"/>
          <w:sz w:val="32"/>
          <w:szCs w:val="32"/>
          <w:highlight w:val="none"/>
        </w:rPr>
        <w:t>不良贷款余额</w:t>
      </w:r>
      <w:r>
        <w:rPr>
          <w:rFonts w:hint="eastAsia" w:ascii="仿宋_GB2312" w:hAnsi="黑体" w:eastAsia="仿宋_GB2312"/>
          <w:sz w:val="32"/>
          <w:szCs w:val="32"/>
          <w:highlight w:val="none"/>
          <w:lang w:val="en-US" w:eastAsia="zh-CN"/>
        </w:rPr>
        <w:t>8306</w:t>
      </w:r>
      <w:r>
        <w:rPr>
          <w:rFonts w:hint="eastAsia" w:ascii="仿宋_GB2312" w:hAnsi="黑体" w:eastAsia="仿宋_GB2312"/>
          <w:sz w:val="32"/>
          <w:szCs w:val="32"/>
          <w:highlight w:val="none"/>
        </w:rPr>
        <w:t>万元，</w:t>
      </w:r>
      <w:r>
        <w:rPr>
          <w:rFonts w:hint="eastAsia" w:ascii="仿宋_GB2312" w:hAnsi="黑体" w:eastAsia="仿宋_GB2312"/>
          <w:b/>
          <w:sz w:val="32"/>
          <w:szCs w:val="32"/>
          <w:highlight w:val="none"/>
        </w:rPr>
        <w:t>按客户类型分：</w:t>
      </w:r>
      <w:r>
        <w:rPr>
          <w:rFonts w:hint="eastAsia" w:ascii="仿宋_GB2312" w:hAnsi="黑体" w:eastAsia="仿宋_GB2312"/>
          <w:sz w:val="32"/>
          <w:szCs w:val="32"/>
          <w:highlight w:val="none"/>
        </w:rPr>
        <w:t>企业不良贷款</w:t>
      </w:r>
      <w:r>
        <w:rPr>
          <w:rFonts w:hint="eastAsia" w:ascii="仿宋_GB2312" w:hAnsi="黑体" w:eastAsia="仿宋_GB2312"/>
          <w:sz w:val="32"/>
          <w:szCs w:val="32"/>
          <w:highlight w:val="none"/>
          <w:lang w:val="en-US" w:eastAsia="zh-CN"/>
        </w:rPr>
        <w:t>235</w:t>
      </w:r>
      <w:r>
        <w:rPr>
          <w:rFonts w:hint="eastAsia" w:ascii="仿宋_GB2312" w:hAnsi="黑体" w:eastAsia="仿宋_GB2312"/>
          <w:sz w:val="32"/>
          <w:szCs w:val="32"/>
          <w:highlight w:val="none"/>
        </w:rPr>
        <w:t>万元，个人（含个体工商户）不良贷款</w:t>
      </w:r>
      <w:r>
        <w:rPr>
          <w:rFonts w:hint="eastAsia" w:ascii="仿宋_GB2312" w:hAnsi="黑体" w:eastAsia="仿宋_GB2312"/>
          <w:sz w:val="32"/>
          <w:szCs w:val="32"/>
          <w:highlight w:val="none"/>
          <w:lang w:val="en-US" w:eastAsia="zh-CN"/>
        </w:rPr>
        <w:t>8071</w:t>
      </w:r>
      <w:r>
        <w:rPr>
          <w:rFonts w:hint="eastAsia" w:ascii="仿宋_GB2312" w:hAnsi="黑体" w:eastAsia="仿宋_GB2312"/>
          <w:sz w:val="32"/>
          <w:szCs w:val="32"/>
          <w:highlight w:val="none"/>
        </w:rPr>
        <w:t>万元；</w:t>
      </w:r>
      <w:r>
        <w:rPr>
          <w:rFonts w:hint="eastAsia" w:ascii="仿宋_GB2312" w:hAnsi="黑体" w:eastAsia="仿宋_GB2312"/>
          <w:b/>
          <w:sz w:val="32"/>
          <w:szCs w:val="32"/>
          <w:highlight w:val="none"/>
        </w:rPr>
        <w:t>按担保方式分：</w:t>
      </w:r>
      <w:r>
        <w:rPr>
          <w:rFonts w:hint="eastAsia" w:ascii="仿宋_GB2312" w:hAnsi="黑体" w:eastAsia="仿宋_GB2312"/>
          <w:sz w:val="32"/>
          <w:szCs w:val="32"/>
          <w:highlight w:val="none"/>
        </w:rPr>
        <w:t>保证类</w:t>
      </w:r>
      <w:r>
        <w:rPr>
          <w:rFonts w:hint="eastAsia" w:ascii="仿宋_GB2312" w:hAnsi="黑体" w:eastAsia="仿宋_GB2312"/>
          <w:sz w:val="32"/>
          <w:szCs w:val="32"/>
          <w:highlight w:val="none"/>
          <w:lang w:val="en-US" w:eastAsia="zh-CN"/>
        </w:rPr>
        <w:t>5796</w:t>
      </w:r>
      <w:r>
        <w:rPr>
          <w:rFonts w:hint="eastAsia" w:ascii="仿宋_GB2312" w:hAnsi="黑体" w:eastAsia="仿宋_GB2312"/>
          <w:sz w:val="32"/>
          <w:szCs w:val="32"/>
          <w:highlight w:val="none"/>
        </w:rPr>
        <w:t>万元、信用类</w:t>
      </w:r>
      <w:r>
        <w:rPr>
          <w:rFonts w:hint="eastAsia" w:ascii="仿宋_GB2312" w:hAnsi="黑体" w:eastAsia="仿宋_GB2312"/>
          <w:sz w:val="32"/>
          <w:szCs w:val="32"/>
          <w:highlight w:val="none"/>
          <w:lang w:val="en-US" w:eastAsia="zh-CN"/>
        </w:rPr>
        <w:t>1299</w:t>
      </w:r>
      <w:r>
        <w:rPr>
          <w:rFonts w:hint="eastAsia" w:ascii="仿宋_GB2312" w:hAnsi="黑体" w:eastAsia="仿宋_GB2312"/>
          <w:sz w:val="32"/>
          <w:szCs w:val="32"/>
          <w:highlight w:val="none"/>
        </w:rPr>
        <w:t>万元、抵押类</w:t>
      </w:r>
      <w:r>
        <w:rPr>
          <w:rFonts w:hint="eastAsia" w:ascii="仿宋_GB2312" w:hAnsi="黑体" w:eastAsia="仿宋_GB2312"/>
          <w:sz w:val="32"/>
          <w:szCs w:val="32"/>
          <w:highlight w:val="none"/>
          <w:lang w:val="en-US" w:eastAsia="zh-CN"/>
        </w:rPr>
        <w:t>1211</w:t>
      </w:r>
      <w:r>
        <w:rPr>
          <w:rFonts w:hint="eastAsia" w:ascii="仿宋_GB2312" w:hAnsi="黑体" w:eastAsia="仿宋_GB2312"/>
          <w:sz w:val="32"/>
          <w:szCs w:val="32"/>
          <w:highlight w:val="none"/>
        </w:rPr>
        <w:t>万元；</w:t>
      </w:r>
      <w:r>
        <w:rPr>
          <w:rFonts w:hint="eastAsia" w:ascii="仿宋_GB2312" w:hAnsi="黑体" w:eastAsia="仿宋_GB2312"/>
          <w:b/>
          <w:sz w:val="32"/>
          <w:szCs w:val="32"/>
          <w:highlight w:val="none"/>
        </w:rPr>
        <w:t>按贷款期限分：</w:t>
      </w:r>
      <w:r>
        <w:rPr>
          <w:rFonts w:hint="eastAsia" w:ascii="仿宋_GB2312" w:hAnsi="黑体" w:eastAsia="仿宋_GB2312"/>
          <w:sz w:val="32"/>
          <w:szCs w:val="32"/>
          <w:highlight w:val="none"/>
        </w:rPr>
        <w:t>短期</w:t>
      </w:r>
      <w:r>
        <w:rPr>
          <w:rFonts w:hint="eastAsia" w:ascii="仿宋_GB2312" w:hAnsi="黑体" w:eastAsia="仿宋_GB2312"/>
          <w:sz w:val="32"/>
          <w:szCs w:val="32"/>
          <w:highlight w:val="none"/>
          <w:lang w:val="en-US" w:eastAsia="zh-CN"/>
        </w:rPr>
        <w:t>685</w:t>
      </w:r>
      <w:r>
        <w:rPr>
          <w:rFonts w:hint="eastAsia" w:ascii="仿宋_GB2312" w:hAnsi="黑体" w:eastAsia="仿宋_GB2312"/>
          <w:sz w:val="32"/>
          <w:szCs w:val="32"/>
          <w:highlight w:val="none"/>
        </w:rPr>
        <w:t>万元、中长期</w:t>
      </w:r>
      <w:r>
        <w:rPr>
          <w:rFonts w:hint="eastAsia" w:ascii="仿宋_GB2312" w:hAnsi="黑体" w:eastAsia="仿宋_GB2312"/>
          <w:sz w:val="32"/>
          <w:szCs w:val="32"/>
          <w:highlight w:val="none"/>
          <w:lang w:val="en-US" w:eastAsia="zh-CN"/>
        </w:rPr>
        <w:t>7621</w:t>
      </w:r>
      <w:r>
        <w:rPr>
          <w:rFonts w:hint="eastAsia" w:ascii="仿宋_GB2312" w:hAnsi="黑体" w:eastAsia="仿宋_GB2312"/>
          <w:sz w:val="32"/>
          <w:szCs w:val="32"/>
          <w:highlight w:val="none"/>
        </w:rPr>
        <w:t>万元</w:t>
      </w:r>
      <w:r>
        <w:rPr>
          <w:rFonts w:hint="eastAsia" w:ascii="仿宋_GB2312" w:hAnsi="黑体" w:eastAsia="仿宋_GB2312"/>
          <w:sz w:val="32"/>
          <w:szCs w:val="32"/>
          <w:highlight w:val="none"/>
          <w:lang w:eastAsia="zh-CN"/>
        </w:rPr>
        <w:t>。</w:t>
      </w:r>
    </w:p>
    <w:p>
      <w:pPr>
        <w:numPr>
          <w:ilvl w:val="0"/>
          <w:numId w:val="0"/>
        </w:numPr>
        <w:spacing w:line="520" w:lineRule="exact"/>
        <w:ind w:firstLine="642" w:firstLineChars="200"/>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lang w:val="en-US" w:eastAsia="zh-CN"/>
        </w:rPr>
        <w:t>3.</w:t>
      </w:r>
      <w:r>
        <w:rPr>
          <w:rFonts w:hint="eastAsia" w:ascii="仿宋_GB2312" w:hAnsi="仿宋_GB2312" w:eastAsia="仿宋_GB2312" w:cs="仿宋_GB2312"/>
          <w:b/>
          <w:bCs/>
          <w:sz w:val="32"/>
          <w:szCs w:val="32"/>
          <w:highlight w:val="none"/>
        </w:rPr>
        <w:t>信用风险集中情况</w:t>
      </w:r>
    </w:p>
    <w:p>
      <w:pPr>
        <w:spacing w:line="520" w:lineRule="exact"/>
        <w:ind w:firstLine="640" w:firstLineChars="200"/>
        <w:rPr>
          <w:rFonts w:ascii="仿宋_GB2312" w:eastAsia="仿宋_GB2312"/>
          <w:sz w:val="32"/>
          <w:szCs w:val="32"/>
          <w:highlight w:val="none"/>
        </w:rPr>
      </w:pPr>
      <w:r>
        <w:rPr>
          <w:rFonts w:hint="eastAsia" w:ascii="仿宋_GB2312" w:hAnsi="黑体" w:eastAsia="仿宋_GB2312"/>
          <w:sz w:val="32"/>
          <w:szCs w:val="32"/>
          <w:highlight w:val="none"/>
          <w:lang w:eastAsia="zh-CN"/>
        </w:rPr>
        <w:t>截至</w:t>
      </w:r>
      <w:r>
        <w:rPr>
          <w:rFonts w:hint="eastAsia" w:ascii="仿宋_GB2312" w:hAnsi="黑体" w:eastAsia="仿宋_GB2312"/>
          <w:sz w:val="32"/>
          <w:szCs w:val="32"/>
          <w:highlight w:val="none"/>
        </w:rPr>
        <w:t>12月末，</w:t>
      </w:r>
      <w:r>
        <w:rPr>
          <w:rFonts w:hint="eastAsia" w:ascii="仿宋_GB2312" w:hAnsi="楷体" w:eastAsia="仿宋_GB2312"/>
          <w:sz w:val="32"/>
          <w:szCs w:val="32"/>
          <w:highlight w:val="none"/>
          <w:lang w:eastAsia="zh-CN"/>
        </w:rPr>
        <w:t>本社</w:t>
      </w:r>
      <w:r>
        <w:rPr>
          <w:rFonts w:hint="eastAsia" w:ascii="仿宋_GB2312" w:eastAsia="仿宋_GB2312"/>
          <w:sz w:val="32"/>
          <w:szCs w:val="32"/>
          <w:highlight w:val="none"/>
        </w:rPr>
        <w:t>前五大行业不良贷款余额</w:t>
      </w:r>
      <w:r>
        <w:rPr>
          <w:rFonts w:hint="eastAsia" w:ascii="仿宋_GB2312" w:eastAsia="仿宋_GB2312"/>
          <w:sz w:val="32"/>
          <w:szCs w:val="32"/>
          <w:highlight w:val="none"/>
          <w:lang w:val="en-US" w:eastAsia="zh-CN"/>
        </w:rPr>
        <w:t>6029</w:t>
      </w:r>
      <w:r>
        <w:rPr>
          <w:rFonts w:hint="eastAsia" w:ascii="仿宋_GB2312" w:eastAsia="仿宋_GB2312"/>
          <w:sz w:val="32"/>
          <w:szCs w:val="32"/>
          <w:highlight w:val="none"/>
        </w:rPr>
        <w:t>万元，占全县不良贷款总额的7</w:t>
      </w:r>
      <w:r>
        <w:rPr>
          <w:rFonts w:hint="eastAsia" w:ascii="仿宋_GB2312" w:eastAsia="仿宋_GB2312"/>
          <w:sz w:val="32"/>
          <w:szCs w:val="32"/>
          <w:highlight w:val="none"/>
          <w:lang w:val="en-US" w:eastAsia="zh-CN"/>
        </w:rPr>
        <w:t>2.58</w:t>
      </w:r>
      <w:r>
        <w:rPr>
          <w:rFonts w:hint="eastAsia" w:ascii="仿宋_GB2312" w:eastAsia="仿宋_GB2312"/>
          <w:sz w:val="32"/>
          <w:szCs w:val="32"/>
          <w:highlight w:val="none"/>
        </w:rPr>
        <w:t>%。</w:t>
      </w:r>
    </w:p>
    <w:tbl>
      <w:tblPr>
        <w:tblStyle w:val="46"/>
        <w:tblW w:w="850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3686"/>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b/>
                <w:bCs/>
                <w:sz w:val="32"/>
                <w:szCs w:val="32"/>
                <w:highlight w:val="none"/>
              </w:rPr>
            </w:pPr>
            <w:r>
              <w:rPr>
                <w:rFonts w:hint="eastAsia" w:ascii="仿宋_GB2312" w:eastAsia="仿宋_GB2312"/>
                <w:b/>
                <w:bCs/>
                <w:sz w:val="32"/>
                <w:szCs w:val="32"/>
                <w:highlight w:val="none"/>
              </w:rPr>
              <w:t>序号</w:t>
            </w:r>
          </w:p>
        </w:tc>
        <w:tc>
          <w:tcPr>
            <w:tcW w:w="3686" w:type="dxa"/>
            <w:vAlign w:val="center"/>
          </w:tcPr>
          <w:p>
            <w:pPr>
              <w:spacing w:line="560" w:lineRule="exact"/>
              <w:jc w:val="center"/>
              <w:rPr>
                <w:rFonts w:ascii="仿宋_GB2312" w:eastAsia="仿宋_GB2312"/>
                <w:b/>
                <w:bCs/>
                <w:sz w:val="32"/>
                <w:szCs w:val="32"/>
                <w:highlight w:val="none"/>
              </w:rPr>
            </w:pPr>
            <w:r>
              <w:rPr>
                <w:rFonts w:hint="eastAsia" w:ascii="仿宋_GB2312" w:eastAsia="仿宋_GB2312"/>
                <w:b/>
                <w:bCs/>
                <w:sz w:val="32"/>
                <w:szCs w:val="32"/>
                <w:highlight w:val="none"/>
              </w:rPr>
              <w:t>所属行业</w:t>
            </w:r>
          </w:p>
        </w:tc>
        <w:tc>
          <w:tcPr>
            <w:tcW w:w="3544" w:type="dxa"/>
            <w:vAlign w:val="center"/>
          </w:tcPr>
          <w:p>
            <w:pPr>
              <w:spacing w:line="560" w:lineRule="exact"/>
              <w:jc w:val="center"/>
              <w:rPr>
                <w:rFonts w:ascii="仿宋_GB2312" w:eastAsia="仿宋_GB2312"/>
                <w:b/>
                <w:bCs/>
                <w:sz w:val="32"/>
                <w:szCs w:val="32"/>
                <w:highlight w:val="none"/>
              </w:rPr>
            </w:pPr>
            <w:r>
              <w:rPr>
                <w:rFonts w:hint="eastAsia" w:ascii="仿宋_GB2312" w:eastAsia="仿宋_GB2312"/>
                <w:b/>
                <w:bCs/>
                <w:sz w:val="32"/>
                <w:szCs w:val="32"/>
                <w:highlight w:val="none"/>
              </w:rPr>
              <w:t>贷款余额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1</w:t>
            </w:r>
          </w:p>
        </w:tc>
        <w:tc>
          <w:tcPr>
            <w:tcW w:w="3686"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rPr>
              <w:t>农、林、牧、渔业</w:t>
            </w:r>
          </w:p>
        </w:tc>
        <w:tc>
          <w:tcPr>
            <w:tcW w:w="354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textAlignment w:val="center"/>
              <w:rPr>
                <w:rFonts w:hint="default" w:ascii="仿宋_GB2312" w:hAnsi="宋体" w:eastAsia="仿宋_GB2312" w:cs="仿宋_GB2312"/>
                <w:color w:val="000000"/>
                <w:kern w:val="0"/>
                <w:sz w:val="32"/>
                <w:szCs w:val="32"/>
                <w:highlight w:val="none"/>
                <w:lang w:val="en-US" w:eastAsia="zh-CN"/>
              </w:rPr>
            </w:pPr>
            <w:r>
              <w:rPr>
                <w:rFonts w:hint="eastAsia" w:ascii="仿宋_GB2312" w:hAnsi="宋体" w:eastAsia="仿宋_GB2312" w:cs="仿宋_GB2312"/>
                <w:color w:val="000000"/>
                <w:kern w:val="0"/>
                <w:sz w:val="32"/>
                <w:szCs w:val="32"/>
                <w:highlight w:val="none"/>
                <w:lang w:val="en-US" w:eastAsia="zh-CN"/>
              </w:rPr>
              <w:t>3033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2</w:t>
            </w:r>
          </w:p>
        </w:tc>
        <w:tc>
          <w:tcPr>
            <w:tcW w:w="368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rPr>
              <w:t>批发和零售业</w:t>
            </w:r>
          </w:p>
        </w:tc>
        <w:tc>
          <w:tcPr>
            <w:tcW w:w="354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textAlignment w:val="center"/>
              <w:rPr>
                <w:rFonts w:hint="default" w:ascii="仿宋_GB2312" w:hAnsi="宋体" w:eastAsia="仿宋_GB2312" w:cs="仿宋_GB2312"/>
                <w:color w:val="000000"/>
                <w:kern w:val="0"/>
                <w:sz w:val="32"/>
                <w:szCs w:val="32"/>
                <w:highlight w:val="none"/>
                <w:lang w:val="en-US" w:eastAsia="zh-CN"/>
              </w:rPr>
            </w:pPr>
            <w:r>
              <w:rPr>
                <w:rFonts w:hint="eastAsia" w:ascii="仿宋_GB2312" w:hAnsi="宋体" w:eastAsia="仿宋_GB2312" w:cs="仿宋_GB2312"/>
                <w:color w:val="000000"/>
                <w:kern w:val="0"/>
                <w:sz w:val="32"/>
                <w:szCs w:val="32"/>
                <w:highlight w:val="none"/>
                <w:lang w:val="en-US" w:eastAsia="zh-CN"/>
              </w:rPr>
              <w:t>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3</w:t>
            </w:r>
          </w:p>
        </w:tc>
        <w:tc>
          <w:tcPr>
            <w:tcW w:w="3686"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lang w:val="en-US" w:eastAsia="zh-CN"/>
              </w:rPr>
              <w:t>制造</w:t>
            </w:r>
            <w:r>
              <w:rPr>
                <w:rFonts w:hint="eastAsia" w:ascii="仿宋_GB2312" w:hAnsi="宋体" w:eastAsia="仿宋_GB2312" w:cs="宋体"/>
                <w:color w:val="000000"/>
                <w:sz w:val="32"/>
                <w:szCs w:val="32"/>
                <w:highlight w:val="none"/>
              </w:rPr>
              <w:t>业</w:t>
            </w:r>
          </w:p>
        </w:tc>
        <w:tc>
          <w:tcPr>
            <w:tcW w:w="354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textAlignment w:val="center"/>
              <w:rPr>
                <w:rFonts w:hint="default" w:ascii="仿宋_GB2312" w:hAnsi="宋体" w:eastAsia="仿宋_GB2312" w:cs="仿宋_GB2312"/>
                <w:color w:val="000000"/>
                <w:kern w:val="0"/>
                <w:sz w:val="32"/>
                <w:szCs w:val="32"/>
                <w:highlight w:val="none"/>
                <w:lang w:val="en-US" w:eastAsia="zh-CN"/>
              </w:rPr>
            </w:pPr>
            <w:r>
              <w:rPr>
                <w:rFonts w:hint="eastAsia" w:ascii="仿宋_GB2312" w:hAnsi="宋体" w:eastAsia="仿宋_GB2312" w:cs="仿宋_GB2312"/>
                <w:color w:val="000000"/>
                <w:kern w:val="0"/>
                <w:sz w:val="32"/>
                <w:szCs w:val="32"/>
                <w:highlight w:val="none"/>
                <w:lang w:val="en-US" w:eastAsia="zh-CN"/>
              </w:rPr>
              <w:t>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4</w:t>
            </w:r>
          </w:p>
        </w:tc>
        <w:tc>
          <w:tcPr>
            <w:tcW w:w="3686"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lang w:val="en-US" w:eastAsia="zh-CN"/>
              </w:rPr>
              <w:t>建筑</w:t>
            </w:r>
            <w:r>
              <w:rPr>
                <w:rFonts w:hint="eastAsia" w:ascii="仿宋_GB2312" w:hAnsi="宋体" w:eastAsia="仿宋_GB2312" w:cs="宋体"/>
                <w:color w:val="000000"/>
                <w:sz w:val="32"/>
                <w:szCs w:val="32"/>
                <w:highlight w:val="none"/>
              </w:rPr>
              <w:t>业</w:t>
            </w:r>
          </w:p>
        </w:tc>
        <w:tc>
          <w:tcPr>
            <w:tcW w:w="354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textAlignment w:val="center"/>
              <w:rPr>
                <w:rFonts w:hint="default" w:ascii="仿宋_GB2312" w:hAnsi="宋体" w:eastAsia="仿宋_GB2312" w:cs="仿宋_GB2312"/>
                <w:color w:val="000000"/>
                <w:kern w:val="0"/>
                <w:sz w:val="32"/>
                <w:szCs w:val="32"/>
                <w:highlight w:val="none"/>
                <w:lang w:val="en-US" w:eastAsia="zh-CN"/>
              </w:rPr>
            </w:pPr>
            <w:r>
              <w:rPr>
                <w:rFonts w:hint="eastAsia" w:ascii="仿宋_GB2312" w:hAnsi="宋体" w:eastAsia="仿宋_GB2312" w:cs="仿宋_GB2312"/>
                <w:color w:val="000000"/>
                <w:kern w:val="0"/>
                <w:sz w:val="32"/>
                <w:szCs w:val="32"/>
                <w:highlight w:val="none"/>
                <w:lang w:val="en-US" w:eastAsia="zh-CN"/>
              </w:rPr>
              <w:t>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5</w:t>
            </w:r>
          </w:p>
        </w:tc>
        <w:tc>
          <w:tcPr>
            <w:tcW w:w="3686"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rPr>
              <w:t>住宿和餐饮业</w:t>
            </w:r>
          </w:p>
        </w:tc>
        <w:tc>
          <w:tcPr>
            <w:tcW w:w="354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textAlignment w:val="center"/>
              <w:rPr>
                <w:rFonts w:hint="default" w:ascii="仿宋_GB2312" w:hAnsi="宋体" w:eastAsia="仿宋_GB2312" w:cs="仿宋_GB2312"/>
                <w:color w:val="000000"/>
                <w:kern w:val="0"/>
                <w:sz w:val="32"/>
                <w:szCs w:val="32"/>
                <w:highlight w:val="none"/>
                <w:lang w:val="en-US" w:eastAsia="zh-CN"/>
              </w:rPr>
            </w:pPr>
            <w:r>
              <w:rPr>
                <w:rFonts w:hint="eastAsia" w:ascii="仿宋_GB2312" w:hAnsi="宋体" w:eastAsia="仿宋_GB2312" w:cs="仿宋_GB2312"/>
                <w:color w:val="000000"/>
                <w:kern w:val="0"/>
                <w:sz w:val="32"/>
                <w:szCs w:val="32"/>
                <w:highlight w:val="none"/>
                <w:lang w:val="en-US" w:eastAsia="zh-CN"/>
              </w:rPr>
              <w:t>494</w:t>
            </w:r>
          </w:p>
        </w:tc>
      </w:tr>
    </w:tbl>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截至</w:t>
      </w:r>
      <w:r>
        <w:rPr>
          <w:rFonts w:hint="eastAsia" w:ascii="仿宋_GB2312" w:eastAsia="仿宋_GB2312"/>
          <w:sz w:val="32"/>
          <w:szCs w:val="32"/>
          <w:highlight w:val="none"/>
        </w:rPr>
        <w:t>12月末，</w:t>
      </w:r>
      <w:r>
        <w:rPr>
          <w:rFonts w:hint="eastAsia" w:ascii="仿宋_GB2312" w:eastAsia="仿宋_GB2312"/>
          <w:sz w:val="32"/>
          <w:szCs w:val="32"/>
          <w:highlight w:val="none"/>
          <w:lang w:eastAsia="zh-CN"/>
        </w:rPr>
        <w:t>本社</w:t>
      </w:r>
      <w:r>
        <w:rPr>
          <w:rFonts w:hint="eastAsia" w:ascii="仿宋_GB2312" w:eastAsia="仿宋_GB2312"/>
          <w:sz w:val="32"/>
          <w:szCs w:val="32"/>
          <w:highlight w:val="none"/>
        </w:rPr>
        <w:t>前五大行业不良贷款占比情况（单位：%）。</w:t>
      </w:r>
    </w:p>
    <w:tbl>
      <w:tblPr>
        <w:tblStyle w:val="46"/>
        <w:tblW w:w="850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439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b/>
                <w:bCs/>
                <w:sz w:val="32"/>
                <w:szCs w:val="32"/>
                <w:highlight w:val="none"/>
              </w:rPr>
            </w:pPr>
            <w:r>
              <w:rPr>
                <w:rFonts w:hint="eastAsia" w:ascii="仿宋_GB2312" w:eastAsia="仿宋_GB2312"/>
                <w:b/>
                <w:bCs/>
                <w:sz w:val="32"/>
                <w:szCs w:val="32"/>
                <w:highlight w:val="none"/>
              </w:rPr>
              <w:t>序号</w:t>
            </w:r>
          </w:p>
        </w:tc>
        <w:tc>
          <w:tcPr>
            <w:tcW w:w="4395" w:type="dxa"/>
            <w:vAlign w:val="center"/>
          </w:tcPr>
          <w:p>
            <w:pPr>
              <w:spacing w:line="560" w:lineRule="exact"/>
              <w:jc w:val="center"/>
              <w:rPr>
                <w:rFonts w:ascii="仿宋_GB2312" w:eastAsia="仿宋_GB2312"/>
                <w:b/>
                <w:bCs/>
                <w:sz w:val="32"/>
                <w:szCs w:val="32"/>
                <w:highlight w:val="none"/>
              </w:rPr>
            </w:pPr>
            <w:r>
              <w:rPr>
                <w:rFonts w:hint="eastAsia" w:ascii="仿宋_GB2312" w:eastAsia="仿宋_GB2312"/>
                <w:b/>
                <w:bCs/>
                <w:sz w:val="32"/>
                <w:szCs w:val="32"/>
                <w:highlight w:val="none"/>
              </w:rPr>
              <w:t>所属行业</w:t>
            </w:r>
          </w:p>
        </w:tc>
        <w:tc>
          <w:tcPr>
            <w:tcW w:w="2835" w:type="dxa"/>
            <w:vAlign w:val="center"/>
          </w:tcPr>
          <w:p>
            <w:pPr>
              <w:spacing w:line="560" w:lineRule="exact"/>
              <w:jc w:val="center"/>
              <w:rPr>
                <w:rFonts w:ascii="仿宋_GB2312" w:eastAsia="仿宋_GB2312"/>
                <w:b/>
                <w:bCs/>
                <w:sz w:val="32"/>
                <w:szCs w:val="32"/>
                <w:highlight w:val="none"/>
              </w:rPr>
            </w:pPr>
            <w:r>
              <w:rPr>
                <w:rFonts w:hint="eastAsia" w:ascii="仿宋_GB2312" w:eastAsia="仿宋_GB2312"/>
                <w:b/>
                <w:bCs/>
                <w:sz w:val="32"/>
                <w:szCs w:val="32"/>
                <w:highlight w:val="none"/>
              </w:rPr>
              <w:t>不良占比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1</w:t>
            </w:r>
          </w:p>
        </w:tc>
        <w:tc>
          <w:tcPr>
            <w:tcW w:w="4395" w:type="dxa"/>
            <w:vAlign w:val="center"/>
          </w:tcPr>
          <w:p>
            <w:pPr>
              <w:spacing w:line="560" w:lineRule="exact"/>
              <w:jc w:val="center"/>
              <w:rPr>
                <w:rFonts w:ascii="仿宋_GB2312" w:eastAsia="仿宋_GB2312"/>
                <w:sz w:val="32"/>
                <w:szCs w:val="32"/>
                <w:highlight w:val="none"/>
              </w:rPr>
            </w:pPr>
            <w:r>
              <w:rPr>
                <w:rFonts w:hint="eastAsia" w:ascii="仿宋_GB2312" w:hAnsi="宋体" w:eastAsia="仿宋_GB2312" w:cs="宋体"/>
                <w:color w:val="000000"/>
                <w:sz w:val="32"/>
                <w:szCs w:val="32"/>
                <w:highlight w:val="none"/>
              </w:rPr>
              <w:t>交通运输、仓储和邮政业</w:t>
            </w:r>
          </w:p>
        </w:tc>
        <w:tc>
          <w:tcPr>
            <w:tcW w:w="2835" w:type="dxa"/>
            <w:vAlign w:val="center"/>
          </w:tcPr>
          <w:p>
            <w:pPr>
              <w:spacing w:line="560" w:lineRule="exact"/>
              <w:jc w:val="center"/>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2</w:t>
            </w:r>
          </w:p>
        </w:tc>
        <w:tc>
          <w:tcPr>
            <w:tcW w:w="4395"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rPr>
              <w:t>文化、体育和娱乐业</w:t>
            </w:r>
          </w:p>
        </w:tc>
        <w:tc>
          <w:tcPr>
            <w:tcW w:w="283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default" w:ascii="仿宋_GB2312" w:hAnsi="宋体" w:eastAsia="仿宋_GB2312" w:cs="宋体"/>
                <w:color w:val="000000"/>
                <w:sz w:val="32"/>
                <w:szCs w:val="32"/>
                <w:highlight w:val="none"/>
                <w:lang w:val="en-US" w:eastAsia="zh-CN"/>
              </w:rPr>
            </w:pPr>
            <w:r>
              <w:rPr>
                <w:rFonts w:hint="eastAsia" w:ascii="仿宋_GB2312" w:hAnsi="宋体" w:eastAsia="仿宋_GB2312" w:cs="宋体"/>
                <w:color w:val="000000"/>
                <w:sz w:val="32"/>
                <w:szCs w:val="32"/>
                <w:highlight w:val="none"/>
                <w:lang w:val="en-US" w:eastAsia="zh-CN"/>
              </w:rPr>
              <w:t>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3</w:t>
            </w:r>
          </w:p>
        </w:tc>
        <w:tc>
          <w:tcPr>
            <w:tcW w:w="43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rPr>
              <w:t>农、林、牧、渔业</w:t>
            </w:r>
          </w:p>
        </w:tc>
        <w:tc>
          <w:tcPr>
            <w:tcW w:w="283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default" w:ascii="仿宋_GB2312" w:hAnsi="宋体" w:eastAsia="仿宋_GB2312" w:cs="宋体"/>
                <w:color w:val="000000"/>
                <w:sz w:val="32"/>
                <w:szCs w:val="32"/>
                <w:highlight w:val="none"/>
                <w:lang w:val="en-US" w:eastAsia="zh-CN"/>
              </w:rPr>
            </w:pPr>
            <w:r>
              <w:rPr>
                <w:rFonts w:hint="eastAsia" w:ascii="仿宋_GB2312" w:hAnsi="宋体" w:eastAsia="仿宋_GB2312" w:cs="宋体"/>
                <w:color w:val="000000"/>
                <w:sz w:val="32"/>
                <w:szCs w:val="32"/>
                <w:highlight w:val="none"/>
                <w:lang w:val="en-US" w:eastAsia="zh-CN"/>
              </w:rPr>
              <w:t>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4</w:t>
            </w:r>
          </w:p>
        </w:tc>
        <w:tc>
          <w:tcPr>
            <w:tcW w:w="4395"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2"/>
                <w:szCs w:val="32"/>
                <w:highlight w:val="none"/>
              </w:rPr>
              <w:t>住宿和餐饮业</w:t>
            </w:r>
          </w:p>
        </w:tc>
        <w:tc>
          <w:tcPr>
            <w:tcW w:w="283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default" w:ascii="仿宋_GB2312" w:hAnsi="宋体" w:eastAsia="仿宋_GB2312" w:cs="宋体"/>
                <w:color w:val="000000"/>
                <w:sz w:val="32"/>
                <w:szCs w:val="32"/>
                <w:highlight w:val="none"/>
                <w:lang w:val="en-US" w:eastAsia="zh-CN"/>
              </w:rPr>
            </w:pPr>
            <w:r>
              <w:rPr>
                <w:rFonts w:hint="eastAsia" w:ascii="仿宋_GB2312" w:hAnsi="宋体" w:eastAsia="仿宋_GB2312" w:cs="宋体"/>
                <w:color w:val="000000"/>
                <w:sz w:val="32"/>
                <w:szCs w:val="32"/>
                <w:highlight w:val="none"/>
                <w:lang w:val="en-US" w:eastAsia="zh-CN"/>
              </w:rPr>
              <w:t>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pPr>
              <w:spacing w:line="560" w:lineRule="exact"/>
              <w:jc w:val="center"/>
              <w:rPr>
                <w:rFonts w:ascii="仿宋_GB2312" w:eastAsia="仿宋_GB2312"/>
                <w:sz w:val="32"/>
                <w:szCs w:val="32"/>
                <w:highlight w:val="none"/>
              </w:rPr>
            </w:pPr>
            <w:r>
              <w:rPr>
                <w:rFonts w:hint="eastAsia" w:ascii="仿宋_GB2312" w:eastAsia="仿宋_GB2312"/>
                <w:sz w:val="32"/>
                <w:szCs w:val="32"/>
                <w:highlight w:val="none"/>
              </w:rPr>
              <w:t>5</w:t>
            </w:r>
          </w:p>
        </w:tc>
        <w:tc>
          <w:tcPr>
            <w:tcW w:w="4395"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ascii="仿宋_GB2312" w:hAnsi="宋体" w:eastAsia="仿宋_GB2312" w:cs="宋体"/>
                <w:color w:val="000000"/>
                <w:sz w:val="32"/>
                <w:szCs w:val="32"/>
                <w:highlight w:val="none"/>
              </w:rPr>
            </w:pPr>
            <w:r>
              <w:rPr>
                <w:rFonts w:hint="eastAsia" w:ascii="仿宋_GB2312" w:hAnsi="宋体" w:eastAsia="仿宋_GB2312" w:cs="宋体"/>
                <w:color w:val="000000"/>
                <w:sz w:val="30"/>
                <w:szCs w:val="30"/>
                <w:highlight w:val="none"/>
              </w:rPr>
              <w:t>公共管理、社会保障和社会组织</w:t>
            </w:r>
          </w:p>
        </w:tc>
        <w:tc>
          <w:tcPr>
            <w:tcW w:w="283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default" w:ascii="仿宋_GB2312" w:hAnsi="宋体" w:eastAsia="仿宋_GB2312" w:cs="宋体"/>
                <w:color w:val="000000"/>
                <w:sz w:val="32"/>
                <w:szCs w:val="32"/>
                <w:highlight w:val="none"/>
                <w:lang w:val="en-US" w:eastAsia="zh-CN"/>
              </w:rPr>
            </w:pPr>
            <w:r>
              <w:rPr>
                <w:rFonts w:hint="eastAsia" w:ascii="仿宋_GB2312" w:hAnsi="宋体" w:eastAsia="仿宋_GB2312" w:cs="宋体"/>
                <w:color w:val="000000"/>
                <w:sz w:val="32"/>
                <w:szCs w:val="32"/>
                <w:highlight w:val="none"/>
                <w:lang w:val="en-US" w:eastAsia="zh-CN"/>
              </w:rPr>
              <w:t>2.37</w:t>
            </w:r>
          </w:p>
        </w:tc>
      </w:tr>
    </w:tbl>
    <w:p>
      <w:pPr>
        <w:spacing w:line="520" w:lineRule="exact"/>
        <w:ind w:firstLine="642" w:firstLineChars="200"/>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4.逾期贷款账龄分析</w:t>
      </w:r>
    </w:p>
    <w:p>
      <w:pPr>
        <w:spacing w:line="520" w:lineRule="exact"/>
        <w:ind w:firstLine="640" w:firstLineChars="200"/>
        <w:rPr>
          <w:rFonts w:ascii="仿宋_GB2312" w:hAnsi="仿宋" w:eastAsia="仿宋_GB2312" w:cs="仿宋_GB2312"/>
          <w:sz w:val="32"/>
          <w:szCs w:val="32"/>
          <w:highlight w:val="none"/>
        </w:rPr>
      </w:pPr>
      <w:r>
        <w:rPr>
          <w:rFonts w:hint="eastAsia" w:ascii="仿宋_GB2312" w:eastAsia="仿宋_GB2312"/>
          <w:sz w:val="32"/>
          <w:szCs w:val="32"/>
          <w:highlight w:val="none"/>
          <w:lang w:eastAsia="zh-CN"/>
        </w:rPr>
        <w:t>截至</w:t>
      </w:r>
      <w:r>
        <w:rPr>
          <w:rFonts w:hint="eastAsia" w:ascii="仿宋_GB2312" w:eastAsia="仿宋_GB2312"/>
          <w:sz w:val="32"/>
          <w:szCs w:val="32"/>
          <w:highlight w:val="none"/>
        </w:rPr>
        <w:t>12月末，</w:t>
      </w:r>
      <w:r>
        <w:rPr>
          <w:rFonts w:hint="eastAsia" w:ascii="仿宋_GB2312" w:eastAsia="仿宋_GB2312"/>
          <w:sz w:val="32"/>
          <w:szCs w:val="32"/>
          <w:highlight w:val="none"/>
          <w:lang w:eastAsia="zh-CN"/>
        </w:rPr>
        <w:t>本社</w:t>
      </w:r>
      <w:r>
        <w:rPr>
          <w:rFonts w:hint="eastAsia" w:ascii="仿宋_GB2312" w:eastAsia="仿宋_GB2312"/>
          <w:sz w:val="32"/>
          <w:szCs w:val="32"/>
          <w:highlight w:val="none"/>
        </w:rPr>
        <w:t>逾期贷款余额12</w:t>
      </w:r>
      <w:r>
        <w:rPr>
          <w:rFonts w:hint="eastAsia" w:ascii="仿宋_GB2312" w:eastAsia="仿宋_GB2312"/>
          <w:sz w:val="32"/>
          <w:szCs w:val="32"/>
          <w:highlight w:val="none"/>
          <w:lang w:val="en-US" w:eastAsia="zh-CN"/>
        </w:rPr>
        <w:t>880</w:t>
      </w:r>
      <w:r>
        <w:rPr>
          <w:rFonts w:hint="eastAsia" w:ascii="仿宋_GB2312" w:eastAsia="仿宋_GB2312"/>
          <w:sz w:val="32"/>
          <w:szCs w:val="32"/>
          <w:highlight w:val="none"/>
        </w:rPr>
        <w:t>万元，按逾期时长分：逾期1年以内12</w:t>
      </w:r>
      <w:r>
        <w:rPr>
          <w:rFonts w:hint="eastAsia" w:ascii="仿宋_GB2312" w:eastAsia="仿宋_GB2312"/>
          <w:sz w:val="32"/>
          <w:szCs w:val="32"/>
          <w:highlight w:val="none"/>
          <w:lang w:val="en-US" w:eastAsia="zh-CN"/>
        </w:rPr>
        <w:t>650</w:t>
      </w:r>
      <w:r>
        <w:rPr>
          <w:rFonts w:hint="eastAsia" w:ascii="仿宋_GB2312" w:eastAsia="仿宋_GB2312"/>
          <w:sz w:val="32"/>
          <w:szCs w:val="32"/>
          <w:highlight w:val="none"/>
        </w:rPr>
        <w:t>万元、逾期1-2年的</w:t>
      </w:r>
      <w:r>
        <w:rPr>
          <w:rFonts w:hint="eastAsia" w:ascii="仿宋_GB2312" w:eastAsia="仿宋_GB2312"/>
          <w:sz w:val="32"/>
          <w:szCs w:val="32"/>
          <w:highlight w:val="none"/>
          <w:lang w:val="en-US" w:eastAsia="zh-CN"/>
        </w:rPr>
        <w:t>204</w:t>
      </w:r>
      <w:r>
        <w:rPr>
          <w:rFonts w:hint="eastAsia" w:ascii="仿宋_GB2312" w:eastAsia="仿宋_GB2312"/>
          <w:sz w:val="32"/>
          <w:szCs w:val="32"/>
          <w:highlight w:val="none"/>
        </w:rPr>
        <w:t>万元。2年以上的</w:t>
      </w:r>
      <w:r>
        <w:rPr>
          <w:rFonts w:hint="eastAsia" w:ascii="仿宋_GB2312" w:eastAsia="仿宋_GB2312"/>
          <w:sz w:val="32"/>
          <w:szCs w:val="32"/>
          <w:highlight w:val="none"/>
          <w:lang w:val="en-US" w:eastAsia="zh-CN"/>
        </w:rPr>
        <w:t>26</w:t>
      </w:r>
      <w:r>
        <w:rPr>
          <w:rFonts w:hint="eastAsia" w:ascii="仿宋_GB2312" w:eastAsia="仿宋_GB2312"/>
          <w:sz w:val="32"/>
          <w:szCs w:val="32"/>
          <w:highlight w:val="none"/>
        </w:rPr>
        <w:t>万元。</w:t>
      </w:r>
    </w:p>
    <w:p>
      <w:pPr>
        <w:numPr>
          <w:ilvl w:val="0"/>
          <w:numId w:val="13"/>
        </w:numPr>
        <w:spacing w:line="520" w:lineRule="exact"/>
        <w:ind w:firstLine="642" w:firstLineChars="200"/>
        <w:rPr>
          <w:rFonts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流动性风险状况分析</w:t>
      </w:r>
    </w:p>
    <w:p>
      <w:pPr>
        <w:spacing w:line="520" w:lineRule="exact"/>
        <w:ind w:firstLine="640" w:firstLineChars="200"/>
        <w:rPr>
          <w:rFonts w:ascii="仿宋_GB2312" w:eastAsia="仿宋_GB2312"/>
          <w:sz w:val="32"/>
          <w:szCs w:val="32"/>
          <w:highlight w:val="none"/>
        </w:rPr>
      </w:pPr>
      <w:r>
        <w:rPr>
          <w:rFonts w:hint="eastAsia" w:ascii="仿宋_GB2312" w:hAnsi="仿宋" w:eastAsia="仿宋_GB2312" w:cs="仿宋_GB2312"/>
          <w:sz w:val="32"/>
          <w:szCs w:val="32"/>
          <w:highlight w:val="none"/>
        </w:rPr>
        <w:t>长期以来，</w:t>
      </w:r>
      <w:r>
        <w:rPr>
          <w:rFonts w:hint="eastAsia" w:ascii="仿宋_GB2312" w:hAnsi="仿宋" w:eastAsia="仿宋_GB2312" w:cs="仿宋_GB2312"/>
          <w:sz w:val="32"/>
          <w:szCs w:val="32"/>
          <w:highlight w:val="none"/>
          <w:lang w:eastAsia="zh-CN"/>
        </w:rPr>
        <w:t>本社</w:t>
      </w:r>
      <w:r>
        <w:rPr>
          <w:rFonts w:hint="eastAsia" w:ascii="仿宋_GB2312" w:hAnsi="仿宋" w:eastAsia="仿宋_GB2312" w:cs="仿宋_GB2312"/>
          <w:sz w:val="32"/>
          <w:szCs w:val="32"/>
          <w:highlight w:val="none"/>
        </w:rPr>
        <w:t>高度关注流动性风险管理，不断增强风险预测、计量和调控能力，在有效满足客户支付结算、偿还债务本息和发放贷款的前提下，保持合理的流动水平，科学配置资产负债结构和比例，保障</w:t>
      </w:r>
      <w:r>
        <w:rPr>
          <w:rFonts w:hint="eastAsia" w:ascii="仿宋_GB2312" w:hAnsi="仿宋" w:eastAsia="仿宋_GB2312" w:cs="仿宋_GB2312"/>
          <w:sz w:val="32"/>
          <w:szCs w:val="32"/>
          <w:highlight w:val="none"/>
          <w:lang w:eastAsia="zh-CN"/>
        </w:rPr>
        <w:t>本社</w:t>
      </w:r>
      <w:r>
        <w:rPr>
          <w:rFonts w:hint="eastAsia" w:ascii="仿宋_GB2312" w:hAnsi="仿宋" w:eastAsia="仿宋_GB2312" w:cs="仿宋_GB2312"/>
          <w:sz w:val="32"/>
          <w:szCs w:val="32"/>
          <w:highlight w:val="none"/>
        </w:rPr>
        <w:t>经营的持续、稳健，不断提高经营效益。202</w:t>
      </w:r>
      <w:r>
        <w:rPr>
          <w:rFonts w:hint="eastAsia" w:ascii="仿宋_GB2312" w:hAnsi="仿宋" w:eastAsia="仿宋_GB2312" w:cs="仿宋_GB2312"/>
          <w:sz w:val="32"/>
          <w:szCs w:val="32"/>
          <w:highlight w:val="none"/>
          <w:lang w:val="en-US" w:eastAsia="zh-CN"/>
        </w:rPr>
        <w:t>4</w:t>
      </w:r>
      <w:r>
        <w:rPr>
          <w:rFonts w:hint="eastAsia" w:ascii="仿宋_GB2312" w:hAnsi="仿宋" w:eastAsia="仿宋_GB2312" w:cs="仿宋_GB2312"/>
          <w:sz w:val="32"/>
          <w:szCs w:val="32"/>
          <w:highlight w:val="none"/>
        </w:rPr>
        <w:t>年12月末，</w:t>
      </w:r>
      <w:r>
        <w:rPr>
          <w:rFonts w:hint="eastAsia" w:ascii="仿宋_GB2312" w:eastAsia="仿宋_GB2312"/>
          <w:sz w:val="32"/>
          <w:szCs w:val="32"/>
          <w:highlight w:val="none"/>
          <w:lang w:eastAsia="zh-CN"/>
        </w:rPr>
        <w:t>本社</w:t>
      </w:r>
      <w:r>
        <w:rPr>
          <w:rFonts w:hint="eastAsia" w:ascii="仿宋_GB2312" w:hAnsi="楷体" w:eastAsia="仿宋_GB2312"/>
          <w:sz w:val="32"/>
          <w:szCs w:val="32"/>
          <w:highlight w:val="none"/>
        </w:rPr>
        <w:t>流动性资产总额</w:t>
      </w:r>
      <w:r>
        <w:rPr>
          <w:rFonts w:hint="eastAsia" w:ascii="仿宋_GB2312" w:hAnsi="楷体" w:eastAsia="仿宋_GB2312"/>
          <w:sz w:val="32"/>
          <w:szCs w:val="32"/>
          <w:highlight w:val="none"/>
          <w:lang w:val="en-US" w:eastAsia="zh-CN"/>
        </w:rPr>
        <w:t>195338</w:t>
      </w:r>
      <w:r>
        <w:rPr>
          <w:rFonts w:hint="eastAsia" w:ascii="仿宋_GB2312" w:hAnsi="楷体" w:eastAsia="仿宋_GB2312"/>
          <w:sz w:val="32"/>
          <w:szCs w:val="32"/>
          <w:highlight w:val="none"/>
        </w:rPr>
        <w:t>万元，流动性负债总额</w:t>
      </w:r>
      <w:r>
        <w:rPr>
          <w:rFonts w:hint="eastAsia" w:ascii="仿宋_GB2312" w:hAnsi="楷体" w:eastAsia="仿宋_GB2312"/>
          <w:sz w:val="32"/>
          <w:szCs w:val="32"/>
          <w:highlight w:val="none"/>
          <w:lang w:val="en-US" w:eastAsia="zh-CN"/>
        </w:rPr>
        <w:t>244701</w:t>
      </w:r>
      <w:r>
        <w:rPr>
          <w:rFonts w:hint="eastAsia" w:ascii="仿宋_GB2312" w:hAnsi="楷体" w:eastAsia="仿宋_GB2312"/>
          <w:sz w:val="32"/>
          <w:szCs w:val="32"/>
          <w:highlight w:val="none"/>
        </w:rPr>
        <w:t>万元，流动性比例为</w:t>
      </w:r>
      <w:r>
        <w:rPr>
          <w:rFonts w:hint="eastAsia" w:ascii="仿宋_GB2312" w:hAnsi="楷体" w:eastAsia="仿宋_GB2312"/>
          <w:sz w:val="32"/>
          <w:szCs w:val="32"/>
          <w:highlight w:val="none"/>
          <w:lang w:val="en-US" w:eastAsia="zh-CN"/>
        </w:rPr>
        <w:t>79.83</w:t>
      </w:r>
      <w:r>
        <w:rPr>
          <w:rFonts w:hint="eastAsia" w:ascii="仿宋_GB2312" w:hAnsi="楷体" w:eastAsia="仿宋_GB2312"/>
          <w:sz w:val="32"/>
          <w:szCs w:val="32"/>
          <w:highlight w:val="none"/>
        </w:rPr>
        <w:t>%，高于流动性监管指标</w:t>
      </w:r>
      <w:r>
        <w:rPr>
          <w:rFonts w:hint="eastAsia" w:ascii="仿宋_GB2312" w:hAnsi="楷体" w:eastAsia="仿宋_GB2312"/>
          <w:sz w:val="32"/>
          <w:szCs w:val="32"/>
          <w:highlight w:val="none"/>
          <w:lang w:val="en-US" w:eastAsia="zh-CN"/>
        </w:rPr>
        <w:t>54.83</w:t>
      </w:r>
      <w:r>
        <w:rPr>
          <w:rFonts w:hint="eastAsia" w:ascii="仿宋_GB2312" w:hAnsi="楷体" w:eastAsia="仿宋_GB2312"/>
          <w:sz w:val="32"/>
          <w:szCs w:val="32"/>
          <w:highlight w:val="none"/>
        </w:rPr>
        <w:t>个百分比，</w:t>
      </w:r>
      <w:r>
        <w:rPr>
          <w:rFonts w:hint="eastAsia" w:ascii="仿宋_GB2312" w:eastAsia="仿宋_GB2312"/>
          <w:sz w:val="32"/>
          <w:szCs w:val="32"/>
          <w:highlight w:val="none"/>
        </w:rPr>
        <w:t>均在规定指标值范围内。</w:t>
      </w:r>
    </w:p>
    <w:p>
      <w:pPr>
        <w:spacing w:line="520" w:lineRule="exact"/>
        <w:ind w:firstLine="640" w:firstLineChars="200"/>
        <w:rPr>
          <w:rFonts w:ascii="仿宋_GB2312" w:hAnsi="仿宋" w:eastAsia="仿宋_GB2312" w:cs="仿宋_GB2312"/>
          <w:sz w:val="32"/>
          <w:szCs w:val="32"/>
          <w:highlight w:val="none"/>
        </w:rPr>
      </w:pPr>
      <w:r>
        <w:rPr>
          <w:rFonts w:hint="eastAsia" w:ascii="仿宋_GB2312" w:hAnsi="楷体" w:eastAsia="仿宋_GB2312"/>
          <w:sz w:val="32"/>
          <w:szCs w:val="32"/>
          <w:highlight w:val="none"/>
        </w:rPr>
        <w:t>根据原中国银保监会相关规定，</w:t>
      </w:r>
      <w:r>
        <w:rPr>
          <w:rFonts w:hint="eastAsia" w:ascii="仿宋_GB2312" w:hAnsi="楷体" w:eastAsia="仿宋_GB2312"/>
          <w:sz w:val="32"/>
          <w:szCs w:val="32"/>
          <w:highlight w:val="none"/>
          <w:lang w:eastAsia="zh-CN"/>
        </w:rPr>
        <w:t>本社</w:t>
      </w:r>
      <w:r>
        <w:rPr>
          <w:rFonts w:hint="eastAsia" w:ascii="仿宋_GB2312" w:hAnsi="楷体" w:eastAsia="仿宋_GB2312"/>
          <w:sz w:val="32"/>
          <w:szCs w:val="32"/>
          <w:highlight w:val="none"/>
        </w:rPr>
        <w:t>对交易对手法人机构实行限额管理，同业单一客户或集团客户的风险暴露不得超过联社一级资本净额的25%，至12月末，</w:t>
      </w:r>
      <w:r>
        <w:rPr>
          <w:rFonts w:hint="eastAsia" w:ascii="仿宋_GB2312" w:hAnsi="楷体" w:eastAsia="仿宋_GB2312"/>
          <w:sz w:val="32"/>
          <w:szCs w:val="32"/>
          <w:highlight w:val="none"/>
          <w:lang w:eastAsia="zh-CN"/>
        </w:rPr>
        <w:t>本社</w:t>
      </w:r>
      <w:r>
        <w:rPr>
          <w:rFonts w:hint="eastAsia" w:ascii="仿宋_GB2312" w:hAnsi="楷体" w:eastAsia="仿宋_GB2312"/>
          <w:sz w:val="32"/>
          <w:szCs w:val="32"/>
          <w:highlight w:val="none"/>
        </w:rPr>
        <w:t>单一客户或集团风险暴露控制在25%以内。实行流动性风险限额管理：优质流动性资产充足率不低于100%；流动性比例不低于25%;流动性匹配率不低于100%；流动性缺口率不低于-10%；同业负债比例不高于负债总额的三分之一；营运杠杆倍数原则上不高于1.8倍。</w:t>
      </w:r>
      <w:r>
        <w:rPr>
          <w:rFonts w:hint="eastAsia" w:ascii="仿宋_GB2312" w:hAnsi="楷体" w:eastAsia="仿宋_GB2312"/>
          <w:sz w:val="32"/>
          <w:szCs w:val="32"/>
          <w:highlight w:val="none"/>
          <w:lang w:eastAsia="zh-CN"/>
        </w:rPr>
        <w:t>本社</w:t>
      </w:r>
      <w:r>
        <w:rPr>
          <w:rFonts w:hint="eastAsia" w:ascii="仿宋_GB2312" w:hAnsi="楷体" w:eastAsia="仿宋_GB2312"/>
          <w:sz w:val="32"/>
          <w:szCs w:val="32"/>
          <w:highlight w:val="none"/>
        </w:rPr>
        <w:t>金融市场流动性保持在较高水平，流动性应急措施有存放人行超额备付金以及国债、地方债可以在银行间市场灵活交易变现。</w:t>
      </w:r>
    </w:p>
    <w:p>
      <w:pPr>
        <w:numPr>
          <w:ilvl w:val="0"/>
          <w:numId w:val="13"/>
        </w:numPr>
        <w:spacing w:line="520" w:lineRule="exact"/>
        <w:ind w:firstLine="642" w:firstLineChars="200"/>
        <w:rPr>
          <w:rFonts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市场风险状况分析</w:t>
      </w:r>
    </w:p>
    <w:p>
      <w:pPr>
        <w:adjustRightInd w:val="0"/>
        <w:snapToGrid w:val="0"/>
        <w:spacing w:line="520" w:lineRule="exact"/>
        <w:ind w:firstLine="640" w:firstLineChars="200"/>
        <w:rPr>
          <w:rFonts w:ascii="仿宋_GB2312" w:hAnsi="仿宋" w:eastAsia="仿宋_GB2312" w:cs="仿宋_GB2312"/>
          <w:sz w:val="32"/>
          <w:szCs w:val="32"/>
          <w:highlight w:val="none"/>
        </w:rPr>
      </w:pPr>
      <w:r>
        <w:rPr>
          <w:rFonts w:hint="eastAsia" w:ascii="仿宋_GB2312" w:hAnsi="仿宋" w:eastAsia="仿宋_GB2312" w:cs="仿宋_GB2312"/>
          <w:sz w:val="32"/>
          <w:szCs w:val="32"/>
          <w:highlight w:val="none"/>
          <w:lang w:eastAsia="zh-CN"/>
        </w:rPr>
        <w:t>本社</w:t>
      </w:r>
      <w:r>
        <w:rPr>
          <w:rFonts w:hint="eastAsia" w:ascii="仿宋_GB2312" w:hAnsi="仿宋" w:eastAsia="仿宋_GB2312" w:cs="仿宋_GB2312"/>
          <w:sz w:val="32"/>
          <w:szCs w:val="32"/>
          <w:highlight w:val="none"/>
        </w:rPr>
        <w:t>建立有效的市场风险管理框架，</w:t>
      </w:r>
      <w:r>
        <w:rPr>
          <w:rFonts w:hint="eastAsia" w:ascii="仿宋_GB2312" w:hAnsi="仿宋" w:eastAsia="仿宋_GB2312" w:cs="仿宋_GB2312"/>
          <w:b/>
          <w:bCs/>
          <w:sz w:val="32"/>
          <w:szCs w:val="32"/>
          <w:highlight w:val="none"/>
        </w:rPr>
        <w:t>一是</w:t>
      </w:r>
      <w:r>
        <w:rPr>
          <w:rFonts w:hint="eastAsia" w:ascii="仿宋_GB2312" w:hAnsi="仿宋" w:eastAsia="仿宋_GB2312" w:cs="仿宋_GB2312"/>
          <w:sz w:val="32"/>
          <w:szCs w:val="32"/>
          <w:highlight w:val="none"/>
        </w:rPr>
        <w:t>在开展新产品和新业务之前,充分识别和评估其中包含的市场风险,建立相应的内部审批、操作和风险管理程序,把市场风险管理工作纳入理事会管理议程。</w:t>
      </w:r>
      <w:r>
        <w:rPr>
          <w:rFonts w:hint="eastAsia" w:ascii="仿宋_GB2312" w:hAnsi="仿宋" w:eastAsia="仿宋_GB2312" w:cs="仿宋_GB2312"/>
          <w:b/>
          <w:bCs/>
          <w:sz w:val="32"/>
          <w:szCs w:val="32"/>
          <w:highlight w:val="none"/>
        </w:rPr>
        <w:t>二是</w:t>
      </w:r>
      <w:r>
        <w:rPr>
          <w:rFonts w:hint="eastAsia" w:ascii="仿宋_GB2312" w:hAnsi="仿宋" w:eastAsia="仿宋_GB2312" w:cs="仿宋_GB2312"/>
          <w:sz w:val="32"/>
          <w:szCs w:val="32"/>
          <w:highlight w:val="none"/>
        </w:rPr>
        <w:t>建立有效的市场风险分析报告机制、重大市场风险应急机制、新产品和新业务中的市场风险管理机制,清晰有效地划分银行账户和交易账户并建立相应的市场风险识别、计量、监测和控制方法。</w:t>
      </w:r>
      <w:r>
        <w:rPr>
          <w:rFonts w:hint="eastAsia" w:ascii="仿宋_GB2312" w:hAnsi="仿宋" w:eastAsia="仿宋_GB2312" w:cs="仿宋_GB2312"/>
          <w:b/>
          <w:bCs/>
          <w:sz w:val="32"/>
          <w:szCs w:val="32"/>
          <w:highlight w:val="none"/>
        </w:rPr>
        <w:t>三是</w:t>
      </w:r>
      <w:r>
        <w:rPr>
          <w:rFonts w:hint="eastAsia" w:ascii="仿宋_GB2312" w:eastAsia="仿宋_GB2312" w:cs="仿宋_GB2312+FPEF"/>
          <w:kern w:val="0"/>
          <w:sz w:val="32"/>
          <w:szCs w:val="32"/>
          <w:highlight w:val="none"/>
        </w:rPr>
        <w:t>坚持</w:t>
      </w:r>
      <w:r>
        <w:rPr>
          <w:rFonts w:ascii="仿宋_GB2312" w:eastAsia="仿宋_GB2312" w:cs="仿宋_GB2312+FPEF"/>
          <w:kern w:val="0"/>
          <w:sz w:val="32"/>
          <w:szCs w:val="32"/>
          <w:highlight w:val="none"/>
        </w:rPr>
        <w:t>审慎经营，动态调整策略。聚焦主责主业，保持策略定力，坚守金融市场业务定位，持续关注国内金融机构</w:t>
      </w:r>
      <w:r>
        <w:rPr>
          <w:rFonts w:hint="eastAsia" w:ascii="仿宋_GB2312" w:eastAsia="仿宋_GB2312" w:cs="仿宋_GB2312+FPEF"/>
          <w:kern w:val="0"/>
          <w:sz w:val="32"/>
          <w:szCs w:val="32"/>
          <w:highlight w:val="none"/>
        </w:rPr>
        <w:t>的风险事件和</w:t>
      </w:r>
      <w:r>
        <w:rPr>
          <w:rFonts w:ascii="仿宋_GB2312" w:eastAsia="仿宋_GB2312" w:cs="仿宋_GB2312+FPEF"/>
          <w:kern w:val="0"/>
          <w:sz w:val="32"/>
          <w:szCs w:val="32"/>
          <w:highlight w:val="none"/>
        </w:rPr>
        <w:t>后续影响，防范市场风险；合理配置金融市场业务久期，开展债券投资三分类价格波动专项评估，加快构建合理的业务三分类结构，切实防范业务风险。</w:t>
      </w:r>
      <w:r>
        <w:rPr>
          <w:rFonts w:hint="eastAsia" w:ascii="仿宋_GB2312" w:eastAsia="仿宋_GB2312" w:cs="仿宋_GB2312+FPEF"/>
          <w:b/>
          <w:bCs/>
          <w:kern w:val="0"/>
          <w:sz w:val="32"/>
          <w:szCs w:val="32"/>
          <w:highlight w:val="none"/>
        </w:rPr>
        <w:t>四是</w:t>
      </w:r>
      <w:r>
        <w:rPr>
          <w:rFonts w:ascii="仿宋_GB2312" w:eastAsia="仿宋_GB2312" w:cs="仿宋_GB2312+FPEF"/>
          <w:kern w:val="0"/>
          <w:sz w:val="32"/>
          <w:szCs w:val="32"/>
          <w:highlight w:val="none"/>
        </w:rPr>
        <w:t>统筹规划，突出组合管理。根据年度预算目标，科学制定流动性管理策略和资产投资组合策略，结合表内、表外资产负债业务特点，合理设定业务风险偏好，精细大额授信限额管理；资金应用期限与来源期限要合理匹配，按季开展流动性压力测试，适时调整优化资产负债业务期限结构、利率结构、总量结构。</w:t>
      </w:r>
      <w:r>
        <w:rPr>
          <w:rFonts w:hint="eastAsia" w:ascii="仿宋_GB2312" w:eastAsia="仿宋_GB2312" w:cs="仿宋_GB2312+FPEF"/>
          <w:b/>
          <w:bCs/>
          <w:kern w:val="0"/>
          <w:sz w:val="32"/>
          <w:szCs w:val="32"/>
          <w:highlight w:val="none"/>
        </w:rPr>
        <w:t>五是</w:t>
      </w:r>
      <w:r>
        <w:rPr>
          <w:rFonts w:ascii="仿宋_GB2312" w:eastAsia="仿宋_GB2312" w:cs="仿宋_GB2312+FPEF"/>
          <w:kern w:val="0"/>
          <w:sz w:val="32"/>
          <w:szCs w:val="32"/>
          <w:highlight w:val="none"/>
        </w:rPr>
        <w:t>合理负债，强化质量管理。持续推进存款负债质量管理，加强客户管理，做大零售业务，稳固核心客户群，降低存款集中度，提高负债来源多样性和稳定性；加强营运杠杆倍数指标监测，适当降低资金业务杠杆，做好同业负债到期日资金安排，及时还款，避免产生不必要的声誉风险；隔夜正回购融入频繁的加强期限管理，主动拉长同业负债期限，确保跨月资金平稳安全，切实防范业务风险。</w:t>
      </w:r>
    </w:p>
    <w:p>
      <w:pPr>
        <w:numPr>
          <w:ilvl w:val="0"/>
          <w:numId w:val="13"/>
        </w:numPr>
        <w:spacing w:line="520" w:lineRule="exact"/>
        <w:ind w:firstLine="642" w:firstLineChars="200"/>
        <w:rPr>
          <w:rFonts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操作风险状况分析</w:t>
      </w:r>
    </w:p>
    <w:p>
      <w:pPr>
        <w:spacing w:line="520" w:lineRule="exact"/>
        <w:ind w:firstLine="627" w:firstLineChars="196"/>
        <w:rPr>
          <w:rFonts w:ascii="仿宋_GB2312" w:hAnsi="楷体_GB2312" w:eastAsia="仿宋_GB2312" w:cs="楷体_GB2312"/>
          <w:bCs/>
          <w:sz w:val="32"/>
          <w:szCs w:val="32"/>
          <w:highlight w:val="none"/>
        </w:rPr>
      </w:pP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已构建业务条线、风险条线、审计条线三道防线的操作风险防控模式，制定各项业务制度、操作规程，</w:t>
      </w:r>
      <w:r>
        <w:rPr>
          <w:rFonts w:hint="eastAsia" w:ascii="仿宋_GB2312" w:hAnsi="仿宋_GB2312" w:eastAsia="仿宋_GB2312" w:cs="仿宋_GB2312"/>
          <w:bCs/>
          <w:sz w:val="32"/>
          <w:szCs w:val="32"/>
          <w:highlight w:val="none"/>
        </w:rPr>
        <w:t>涵盖了大部分业务风险点，</w:t>
      </w:r>
      <w:r>
        <w:rPr>
          <w:rFonts w:hint="eastAsia" w:ascii="仿宋_GB2312" w:hAnsi="仿宋_GB2312" w:eastAsia="仿宋_GB2312" w:cs="仿宋_GB2312"/>
          <w:sz w:val="32"/>
          <w:szCs w:val="32"/>
          <w:highlight w:val="none"/>
        </w:rPr>
        <w:t>明确了相应的操作风险职责。</w:t>
      </w:r>
      <w:r>
        <w:rPr>
          <w:rFonts w:hint="eastAsia" w:ascii="仿宋_GB2312" w:hAnsi="仿宋_GB2312" w:eastAsia="仿宋_GB2312" w:cs="仿宋_GB2312"/>
          <w:bCs/>
          <w:sz w:val="32"/>
          <w:szCs w:val="32"/>
          <w:highlight w:val="none"/>
        </w:rPr>
        <w:t>员工职业操守和诚信意识较好。</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年度，</w:t>
      </w: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开展征信业务专项检查一次、组织员工行为排查一次、</w:t>
      </w:r>
      <w:r>
        <w:rPr>
          <w:rFonts w:hint="eastAsia" w:ascii="仿宋_GB2312" w:hAnsi="仿宋_GB2312" w:eastAsia="仿宋_GB2312" w:cs="仿宋_GB2312"/>
          <w:color w:val="000000"/>
          <w:sz w:val="32"/>
          <w:szCs w:val="32"/>
          <w:highlight w:val="none"/>
        </w:rPr>
        <w:t>财务会计辅导检查四次，</w:t>
      </w:r>
      <w:r>
        <w:rPr>
          <w:rFonts w:hint="eastAsia" w:ascii="仿宋_GB2312" w:hAnsi="仿宋_GB2312" w:eastAsia="仿宋_GB2312" w:cs="仿宋_GB2312"/>
          <w:sz w:val="32"/>
          <w:szCs w:val="32"/>
          <w:highlight w:val="none"/>
        </w:rPr>
        <w:t>从检查情况看，</w:t>
      </w:r>
      <w:r>
        <w:rPr>
          <w:rFonts w:hint="eastAsia" w:ascii="仿宋_GB2312" w:hAnsi="仿宋" w:eastAsia="仿宋_GB2312" w:cs="仿宋_GB2312"/>
          <w:sz w:val="32"/>
          <w:szCs w:val="32"/>
          <w:highlight w:val="none"/>
        </w:rPr>
        <w:t>员工合规意识不断提升，屡查屡犯现象得到初步遏制，员工操作风险总体呈下降趋势。</w:t>
      </w: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在操作风险方面未发生案件、重大差错、突发事件等风险事件。</w:t>
      </w:r>
    </w:p>
    <w:p>
      <w:pPr>
        <w:spacing w:line="520" w:lineRule="exact"/>
        <w:ind w:firstLine="642" w:firstLineChars="200"/>
        <w:rPr>
          <w:rFonts w:hint="eastAsia" w:ascii="楷体_GB2312" w:hAnsi="楷体_GB2312" w:eastAsia="楷体_GB2312" w:cs="楷体_GB2312"/>
          <w:b/>
          <w:sz w:val="32"/>
          <w:szCs w:val="32"/>
          <w:highlight w:val="none"/>
        </w:rPr>
      </w:pPr>
      <w:r>
        <w:rPr>
          <w:rFonts w:hint="eastAsia" w:ascii="楷体_GB2312" w:hAnsi="楷体_GB2312" w:eastAsia="楷体_GB2312" w:cs="楷体_GB2312"/>
          <w:b/>
          <w:sz w:val="32"/>
          <w:szCs w:val="32"/>
          <w:highlight w:val="none"/>
        </w:rPr>
        <w:t>（五）法律合规风险状况分析</w:t>
      </w:r>
    </w:p>
    <w:p>
      <w:pPr>
        <w:spacing w:line="520" w:lineRule="exact"/>
        <w:ind w:firstLine="64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一是</w:t>
      </w:r>
      <w:r>
        <w:rPr>
          <w:rFonts w:hint="eastAsia" w:ascii="仿宋_GB2312" w:hAnsi="仿宋_GB2312" w:eastAsia="仿宋_GB2312" w:cs="仿宋_GB2312"/>
          <w:sz w:val="32"/>
          <w:szCs w:val="32"/>
          <w:highlight w:val="none"/>
        </w:rPr>
        <w:t>高度重视持续深化内控合规管理建设工作，成立了持续深化内控合规管理建设工作领导小组，制定工作实施方案，召开相关工作会议，开展警示教育，实施各项专项检查，推进屡查屡犯问题集中整治，并开展常态化的内控合规管理建设宣传教育。</w:t>
      </w:r>
      <w:r>
        <w:rPr>
          <w:rFonts w:hint="eastAsia" w:ascii="仿宋_GB2312" w:hAnsi="仿宋_GB2312" w:eastAsia="仿宋_GB2312" w:cs="仿宋_GB2312"/>
          <w:b/>
          <w:bCs/>
          <w:sz w:val="32"/>
          <w:szCs w:val="32"/>
          <w:highlight w:val="none"/>
        </w:rPr>
        <w:t>二是</w:t>
      </w:r>
      <w:r>
        <w:rPr>
          <w:rFonts w:hint="eastAsia" w:ascii="仿宋_GB2312" w:hAnsi="仿宋_GB2312" w:eastAsia="仿宋_GB2312" w:cs="仿宋_GB2312"/>
          <w:sz w:val="32"/>
          <w:szCs w:val="32"/>
          <w:highlight w:val="none"/>
        </w:rPr>
        <w:t>为进一步巩固和提升连城联社内控合规管理建设工作成果，筑牢内控合规“防火墙”。开展“征信、消保、反洗钱”管理综合审计，由</w:t>
      </w: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审计部牵头，抽调相关部门的业务骨干人员组成专项检查组实施现场检查，监察人员参与检查监督，对2024年以来在征信管理制度执行方面、消费者权益保护工作体制机制建设方面、反洗钱工作制度执行方面内容进行检查。</w:t>
      </w:r>
      <w:r>
        <w:rPr>
          <w:rFonts w:hint="eastAsia" w:ascii="仿宋_GB2312" w:hAnsi="仿宋_GB2312" w:eastAsia="仿宋_GB2312" w:cs="仿宋_GB2312"/>
          <w:b/>
          <w:bCs/>
          <w:sz w:val="32"/>
          <w:szCs w:val="32"/>
          <w:highlight w:val="none"/>
        </w:rPr>
        <w:t>三是</w:t>
      </w:r>
      <w:r>
        <w:rPr>
          <w:rFonts w:hint="eastAsia" w:ascii="仿宋_GB2312" w:hAnsi="仿宋_GB2312" w:eastAsia="仿宋_GB2312" w:cs="仿宋_GB2312"/>
          <w:sz w:val="32"/>
          <w:szCs w:val="32"/>
          <w:highlight w:val="none"/>
        </w:rPr>
        <w:t>开展“五个一”工程建设，即制定了一项员工禁止行为、梳理一本汇编合规手册、制定一份重要岗位负面行为清单、梳理一份违规违纪案例汇编、落实一项网点负责人案防管理责任；</w:t>
      </w:r>
      <w:r>
        <w:rPr>
          <w:rFonts w:hint="eastAsia" w:ascii="仿宋_GB2312" w:hAnsi="仿宋_GB2312" w:eastAsia="仿宋_GB2312" w:cs="仿宋_GB2312"/>
          <w:b/>
          <w:bCs/>
          <w:sz w:val="32"/>
          <w:szCs w:val="32"/>
          <w:highlight w:val="none"/>
        </w:rPr>
        <w:t>四是</w:t>
      </w:r>
      <w:r>
        <w:rPr>
          <w:rFonts w:hint="eastAsia" w:ascii="仿宋_GB2312" w:hAnsi="仿宋_GB2312" w:eastAsia="仿宋_GB2312" w:cs="仿宋_GB2312"/>
          <w:sz w:val="32"/>
          <w:szCs w:val="32"/>
          <w:highlight w:val="none"/>
        </w:rPr>
        <w:t>积极开展普法宣传，根据上级部门关于民法典宣传月和宪法宣传周活动要求，2024年度组织全员学习宪法一次，各网点在2024年12月组织员工进行宪法宣传，提升对宪法、民法典的认识，让全体员工和广大人民群众内心拥护和真诚信仰法律，自觉守法、遇事找法、解决问题靠法。</w:t>
      </w:r>
    </w:p>
    <w:p>
      <w:pPr>
        <w:spacing w:line="520" w:lineRule="exact"/>
        <w:ind w:left="412" w:leftChars="196"/>
        <w:rPr>
          <w:rFonts w:hint="eastAsia" w:ascii="楷体_GB2312" w:hAnsi="楷体_GB2312" w:eastAsia="楷体_GB2312" w:cs="楷体_GB2312"/>
          <w:sz w:val="32"/>
          <w:szCs w:val="32"/>
          <w:highlight w:val="none"/>
        </w:rPr>
      </w:pPr>
      <w:r>
        <w:rPr>
          <w:rFonts w:hint="eastAsia" w:ascii="楷体_GB2312" w:hAnsi="楷体_GB2312" w:eastAsia="楷体_GB2312" w:cs="楷体_GB2312"/>
          <w:b/>
          <w:sz w:val="32"/>
          <w:szCs w:val="32"/>
          <w:highlight w:val="none"/>
        </w:rPr>
        <w:t>（六）信息科技风险状况分析</w:t>
      </w:r>
    </w:p>
    <w:p>
      <w:pPr>
        <w:spacing w:line="52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制定了《连城县农村信用合作联社信息科技风险管理办法(试行)》《连城县农村信用合作联社信息科技安全管理办法(修订)》《连城县农村信用合作联社计算机终端安全管理办法(试行)》《连城县农村信用合作联社信息科技突发事件应急预案(修订)》《连城县农村信用合作联社信息科技风险防范处置预案(试行)》《连城县农村信用社互联网使用管理暂行规定(试行)》《连城县农村信用合作联社关于印发业务连续性管理办法（2021年修订版）的通知》（连农信〔2021〕295号）、《连城县农村信用合作联社关于印发连城县农村信用合作联社自助银行管理实施细则的通知》（连农信〔2023〕39号）等文件，</w:t>
      </w: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对自助机具的维保，严格执行省联社入围产品的框架协议，严把维保服务商的准入，与维保服务商有签订维保协议和保密协议，并对维保供应商进行了跟踪管理，确保维保过程合</w:t>
      </w:r>
      <w:r>
        <w:rPr>
          <w:rFonts w:hint="eastAsia" w:ascii="仿宋_GB2312" w:eastAsia="仿宋_GB2312"/>
          <w:sz w:val="32"/>
          <w:szCs w:val="32"/>
          <w:highlight w:val="none"/>
        </w:rPr>
        <w:t>规合法。组织信息科技安全专项排查一次，信息科技风险总体可控。</w:t>
      </w:r>
    </w:p>
    <w:p>
      <w:pPr>
        <w:spacing w:line="520" w:lineRule="exact"/>
        <w:ind w:left="412" w:leftChars="196"/>
        <w:rPr>
          <w:rFonts w:hint="eastAsia" w:ascii="楷体_GB2312" w:hAnsi="楷体_GB2312" w:eastAsia="楷体_GB2312" w:cs="楷体_GB2312"/>
          <w:b/>
          <w:sz w:val="32"/>
          <w:szCs w:val="32"/>
          <w:highlight w:val="none"/>
        </w:rPr>
      </w:pPr>
      <w:r>
        <w:rPr>
          <w:rFonts w:hint="eastAsia" w:ascii="楷体_GB2312" w:hAnsi="楷体_GB2312" w:eastAsia="楷体_GB2312" w:cs="楷体_GB2312"/>
          <w:b/>
          <w:sz w:val="32"/>
          <w:szCs w:val="32"/>
          <w:highlight w:val="none"/>
        </w:rPr>
        <w:t>（七）声誉风险状况分析</w:t>
      </w:r>
    </w:p>
    <w:p>
      <w:pPr>
        <w:spacing w:line="520" w:lineRule="exact"/>
        <w:ind w:firstLine="640" w:firstLineChars="200"/>
        <w:rPr>
          <w:rFonts w:ascii="黑体" w:hAnsi="黑体" w:eastAsia="黑体"/>
          <w:sz w:val="32"/>
          <w:szCs w:val="32"/>
          <w:highlight w:val="none"/>
        </w:rPr>
      </w:pPr>
      <w:r>
        <w:rPr>
          <w:rFonts w:hint="eastAsia" w:ascii="仿宋_GB2312" w:hAnsi="仿宋" w:eastAsia="仿宋_GB2312" w:cs="仿宋_GB2312"/>
          <w:sz w:val="32"/>
          <w:szCs w:val="32"/>
          <w:highlight w:val="none"/>
          <w:lang w:eastAsia="zh-CN"/>
        </w:rPr>
        <w:t>本社</w:t>
      </w:r>
      <w:r>
        <w:rPr>
          <w:rFonts w:hint="eastAsia" w:ascii="仿宋_GB2312" w:hAnsi="仿宋" w:eastAsia="仿宋_GB2312" w:cs="仿宋_GB2312"/>
          <w:sz w:val="32"/>
          <w:szCs w:val="32"/>
          <w:highlight w:val="none"/>
        </w:rPr>
        <w:t>转发</w:t>
      </w:r>
      <w:r>
        <w:rPr>
          <w:rFonts w:hint="eastAsia" w:ascii="仿宋_GB2312" w:hAnsi="仿宋" w:eastAsia="仿宋_GB2312" w:cs="仿宋_GB2312"/>
          <w:sz w:val="32"/>
          <w:szCs w:val="32"/>
          <w:highlight w:val="none"/>
          <w:lang w:eastAsia="zh-CN"/>
        </w:rPr>
        <w:t>了</w:t>
      </w:r>
      <w:r>
        <w:rPr>
          <w:rFonts w:hint="eastAsia" w:ascii="仿宋_GB2312" w:hAnsi="仿宋" w:eastAsia="仿宋_GB2312" w:cs="仿宋_GB2312"/>
          <w:sz w:val="32"/>
          <w:szCs w:val="32"/>
          <w:highlight w:val="none"/>
        </w:rPr>
        <w:t>《</w:t>
      </w:r>
      <w:r>
        <w:rPr>
          <w:rFonts w:hint="eastAsia" w:ascii="仿宋_GB2312" w:eastAsia="仿宋_GB2312" w:cs="仿宋_GB2312"/>
          <w:color w:val="000000"/>
          <w:sz w:val="32"/>
          <w:szCs w:val="32"/>
          <w:highlight w:val="none"/>
        </w:rPr>
        <w:t>福建省农信社、农商银行声誉风险管理暂行规定》，</w:t>
      </w:r>
      <w:r>
        <w:rPr>
          <w:rFonts w:hint="eastAsia" w:ascii="仿宋_GB2312" w:hAnsi="仿宋" w:eastAsia="仿宋_GB2312" w:cs="仿宋_GB2312"/>
          <w:sz w:val="32"/>
          <w:szCs w:val="32"/>
          <w:highlight w:val="none"/>
        </w:rPr>
        <w:t>制定了</w:t>
      </w:r>
      <w:r>
        <w:rPr>
          <w:rFonts w:hint="eastAsia" w:ascii="仿宋_GB2312" w:hAnsi="黑体" w:eastAsia="仿宋_GB2312" w:cs="仿宋_GB2312"/>
          <w:sz w:val="32"/>
          <w:szCs w:val="32"/>
          <w:highlight w:val="none"/>
        </w:rPr>
        <w:t>《连城县农村信用合作联社个人金融信息安全保护制度》《</w:t>
      </w:r>
      <w:r>
        <w:rPr>
          <w:rFonts w:hint="eastAsia" w:ascii="仿宋_GB2312" w:eastAsia="仿宋_GB2312" w:cs="仿宋_GB2312"/>
          <w:color w:val="000000"/>
          <w:sz w:val="32"/>
          <w:szCs w:val="32"/>
          <w:highlight w:val="none"/>
        </w:rPr>
        <w:t>连城县农村信用合作联社舆情处置预案》</w:t>
      </w:r>
      <w:r>
        <w:rPr>
          <w:rFonts w:hint="eastAsia" w:ascii="仿宋_GB2312" w:eastAsia="仿宋_GB2312" w:cs="仿宋_GB2312"/>
          <w:color w:val="000000"/>
          <w:sz w:val="32"/>
          <w:szCs w:val="32"/>
          <w:highlight w:val="none"/>
          <w:lang w:eastAsia="zh-CN"/>
        </w:rPr>
        <w:t>《</w:t>
      </w:r>
      <w:r>
        <w:rPr>
          <w:rFonts w:hint="eastAsia" w:ascii="仿宋_GB2312" w:eastAsia="仿宋_GB2312" w:cs="仿宋_GB2312"/>
          <w:color w:val="000000"/>
          <w:sz w:val="32"/>
          <w:szCs w:val="32"/>
          <w:highlight w:val="none"/>
        </w:rPr>
        <w:t>连城县农村信用合作联社关于印发2024年金融消费者权益保护工作计划的通知</w:t>
      </w:r>
      <w:r>
        <w:rPr>
          <w:rFonts w:hint="eastAsia" w:ascii="仿宋_GB2312" w:eastAsia="仿宋_GB2312" w:cs="仿宋_GB2312"/>
          <w:color w:val="000000"/>
          <w:sz w:val="32"/>
          <w:szCs w:val="32"/>
          <w:highlight w:val="none"/>
          <w:lang w:eastAsia="zh-CN"/>
        </w:rPr>
        <w:t>》（</w:t>
      </w:r>
      <w:r>
        <w:rPr>
          <w:rFonts w:hint="eastAsia" w:ascii="仿宋_GB2312" w:eastAsia="仿宋_GB2312" w:cs="仿宋_GB2312"/>
          <w:color w:val="000000"/>
          <w:sz w:val="32"/>
          <w:szCs w:val="32"/>
          <w:highlight w:val="none"/>
        </w:rPr>
        <w:t>连农信〔2024〕59号</w:t>
      </w:r>
      <w:r>
        <w:rPr>
          <w:rFonts w:hint="eastAsia" w:ascii="仿宋_GB2312" w:eastAsia="仿宋_GB2312" w:cs="仿宋_GB2312"/>
          <w:color w:val="000000"/>
          <w:sz w:val="32"/>
          <w:szCs w:val="32"/>
          <w:highlight w:val="none"/>
          <w:lang w:eastAsia="zh-CN"/>
        </w:rPr>
        <w:t>）、《连城县农村信用合作联社关于开展2024年“</w:t>
      </w:r>
      <w:r>
        <w:rPr>
          <w:rFonts w:hint="eastAsia" w:ascii="仿宋_GB2312" w:hAnsi="仿宋_GB2312" w:eastAsia="仿宋_GB2312" w:cs="仿宋_GB2312"/>
          <w:color w:val="000000"/>
          <w:kern w:val="0"/>
          <w:sz w:val="32"/>
          <w:szCs w:val="32"/>
          <w:highlight w:val="none"/>
          <w:lang w:val="en-US" w:eastAsia="zh-CN" w:bidi="ar"/>
        </w:rPr>
        <w:t>3·15</w:t>
      </w:r>
      <w:r>
        <w:rPr>
          <w:rFonts w:hint="eastAsia" w:ascii="仿宋_GB2312" w:eastAsia="仿宋_GB2312" w:cs="仿宋_GB2312"/>
          <w:color w:val="000000"/>
          <w:sz w:val="32"/>
          <w:szCs w:val="32"/>
          <w:highlight w:val="none"/>
          <w:lang w:eastAsia="zh-CN"/>
        </w:rPr>
        <w:t>”金融消费者权益保护教育宣传活动的通知》（连农信〔2024〕62号）、《连城县农村信用合作联社关于组织开展2024年安全防范“集中攻坚年”行动的通知》（连农信〔2024〕115号）、《连城县农村信用合作联社关于印发</w:t>
      </w:r>
      <w:r>
        <w:rPr>
          <w:rFonts w:hint="eastAsia" w:ascii="仿宋_GB2312" w:eastAsia="仿宋_GB2312" w:cs="仿宋_GB2312"/>
          <w:color w:val="000000"/>
          <w:sz w:val="32"/>
          <w:szCs w:val="32"/>
          <w:highlight w:val="none"/>
          <w:lang w:val="en-US" w:eastAsia="zh-CN"/>
        </w:rPr>
        <w:t>&lt;</w:t>
      </w:r>
      <w:r>
        <w:rPr>
          <w:rFonts w:hint="eastAsia" w:ascii="仿宋_GB2312" w:eastAsia="仿宋_GB2312" w:cs="仿宋_GB2312"/>
          <w:color w:val="000000"/>
          <w:sz w:val="32"/>
          <w:szCs w:val="32"/>
          <w:highlight w:val="none"/>
          <w:lang w:eastAsia="zh-CN"/>
        </w:rPr>
        <w:t>连城县农村信用合作联社信息发布管理暂行办法（2024年修订版）</w:t>
      </w:r>
      <w:r>
        <w:rPr>
          <w:rFonts w:hint="eastAsia" w:ascii="仿宋_GB2312" w:eastAsia="仿宋_GB2312" w:cs="仿宋_GB2312"/>
          <w:color w:val="000000"/>
          <w:sz w:val="32"/>
          <w:szCs w:val="32"/>
          <w:highlight w:val="none"/>
          <w:lang w:val="en-US" w:eastAsia="zh-CN"/>
        </w:rPr>
        <w:t>&gt;</w:t>
      </w:r>
      <w:r>
        <w:rPr>
          <w:rFonts w:hint="eastAsia" w:ascii="仿宋_GB2312" w:eastAsia="仿宋_GB2312" w:cs="仿宋_GB2312"/>
          <w:color w:val="000000"/>
          <w:sz w:val="32"/>
          <w:szCs w:val="32"/>
          <w:highlight w:val="none"/>
          <w:lang w:eastAsia="zh-CN"/>
        </w:rPr>
        <w:t>的通知》（连农信〔2024〕200号）、《连城县农村信用合作联社关于印发</w:t>
      </w:r>
      <w:r>
        <w:rPr>
          <w:rFonts w:hint="eastAsia" w:ascii="仿宋_GB2312" w:eastAsia="仿宋_GB2312" w:cs="仿宋_GB2312"/>
          <w:color w:val="000000"/>
          <w:sz w:val="32"/>
          <w:szCs w:val="32"/>
          <w:highlight w:val="none"/>
          <w:lang w:val="en-US" w:eastAsia="zh-CN"/>
        </w:rPr>
        <w:t>&lt;</w:t>
      </w:r>
      <w:r>
        <w:rPr>
          <w:rFonts w:hint="eastAsia" w:ascii="仿宋_GB2312" w:eastAsia="仿宋_GB2312" w:cs="仿宋_GB2312"/>
          <w:color w:val="000000"/>
          <w:sz w:val="32"/>
          <w:szCs w:val="32"/>
          <w:highlight w:val="none"/>
          <w:lang w:eastAsia="zh-CN"/>
        </w:rPr>
        <w:t>连城农信联社洗钱和恐怖融资风险事件应急预案</w:t>
      </w:r>
      <w:r>
        <w:rPr>
          <w:rFonts w:hint="eastAsia" w:ascii="仿宋_GB2312" w:eastAsia="仿宋_GB2312" w:cs="仿宋_GB2312"/>
          <w:color w:val="000000"/>
          <w:sz w:val="32"/>
          <w:szCs w:val="32"/>
          <w:highlight w:val="none"/>
          <w:lang w:val="en-US" w:eastAsia="zh-CN"/>
        </w:rPr>
        <w:t>&gt;</w:t>
      </w:r>
      <w:r>
        <w:rPr>
          <w:rFonts w:hint="eastAsia" w:ascii="仿宋_GB2312" w:eastAsia="仿宋_GB2312" w:cs="仿宋_GB2312"/>
          <w:color w:val="000000"/>
          <w:sz w:val="32"/>
          <w:szCs w:val="32"/>
          <w:highlight w:val="none"/>
          <w:lang w:eastAsia="zh-CN"/>
        </w:rPr>
        <w:t>的通知》（连农信〔2024〕223号）、《连城县农村信用合作联社关于印发</w:t>
      </w:r>
      <w:r>
        <w:rPr>
          <w:rFonts w:hint="eastAsia" w:ascii="仿宋_GB2312" w:eastAsia="仿宋_GB2312" w:cs="仿宋_GB2312"/>
          <w:color w:val="000000"/>
          <w:sz w:val="32"/>
          <w:szCs w:val="32"/>
          <w:highlight w:val="none"/>
          <w:lang w:val="en-US" w:eastAsia="zh-CN"/>
        </w:rPr>
        <w:t>&lt;</w:t>
      </w:r>
      <w:r>
        <w:rPr>
          <w:rFonts w:hint="eastAsia" w:ascii="仿宋_GB2312" w:eastAsia="仿宋_GB2312" w:cs="仿宋_GB2312"/>
          <w:color w:val="000000"/>
          <w:sz w:val="32"/>
          <w:szCs w:val="32"/>
          <w:highlight w:val="none"/>
          <w:lang w:eastAsia="zh-CN"/>
        </w:rPr>
        <w:t>连城农信联社集中取款事件应急预案（2024年修订版）</w:t>
      </w:r>
      <w:r>
        <w:rPr>
          <w:rFonts w:hint="eastAsia" w:ascii="仿宋_GB2312" w:eastAsia="仿宋_GB2312" w:cs="仿宋_GB2312"/>
          <w:color w:val="000000"/>
          <w:sz w:val="32"/>
          <w:szCs w:val="32"/>
          <w:highlight w:val="none"/>
          <w:lang w:val="en-US" w:eastAsia="zh-CN"/>
        </w:rPr>
        <w:t>&gt;</w:t>
      </w:r>
      <w:r>
        <w:rPr>
          <w:rFonts w:hint="eastAsia" w:ascii="仿宋_GB2312" w:eastAsia="仿宋_GB2312" w:cs="仿宋_GB2312"/>
          <w:color w:val="000000"/>
          <w:sz w:val="32"/>
          <w:szCs w:val="32"/>
          <w:highlight w:val="none"/>
          <w:lang w:eastAsia="zh-CN"/>
        </w:rPr>
        <w:t>的通知》（连农信〔2024〕225号）、《连城县农村信用合作联社关于印发</w:t>
      </w:r>
      <w:r>
        <w:rPr>
          <w:rFonts w:hint="eastAsia" w:ascii="仿宋_GB2312" w:eastAsia="仿宋_GB2312" w:cs="仿宋_GB2312"/>
          <w:color w:val="000000"/>
          <w:sz w:val="32"/>
          <w:szCs w:val="32"/>
          <w:highlight w:val="none"/>
          <w:lang w:val="en-US" w:eastAsia="zh-CN"/>
        </w:rPr>
        <w:t>&lt;</w:t>
      </w:r>
      <w:r>
        <w:rPr>
          <w:rFonts w:hint="eastAsia" w:ascii="仿宋_GB2312" w:eastAsia="仿宋_GB2312" w:cs="仿宋_GB2312"/>
          <w:color w:val="000000"/>
          <w:sz w:val="32"/>
          <w:szCs w:val="32"/>
          <w:highlight w:val="none"/>
          <w:lang w:eastAsia="zh-CN"/>
        </w:rPr>
        <w:t>连城农信联社涉刑案件风险防控管理办法</w:t>
      </w:r>
      <w:r>
        <w:rPr>
          <w:rFonts w:hint="eastAsia" w:ascii="仿宋_GB2312" w:eastAsia="仿宋_GB2312" w:cs="仿宋_GB2312"/>
          <w:color w:val="000000"/>
          <w:sz w:val="32"/>
          <w:szCs w:val="32"/>
          <w:highlight w:val="none"/>
          <w:lang w:val="en-US" w:eastAsia="zh-CN"/>
        </w:rPr>
        <w:t>&gt;</w:t>
      </w:r>
      <w:r>
        <w:rPr>
          <w:rFonts w:hint="eastAsia" w:ascii="仿宋_GB2312" w:eastAsia="仿宋_GB2312" w:cs="仿宋_GB2312"/>
          <w:color w:val="000000"/>
          <w:sz w:val="32"/>
          <w:szCs w:val="32"/>
          <w:highlight w:val="none"/>
          <w:lang w:eastAsia="zh-CN"/>
        </w:rPr>
        <w:t>的通知》（连农信〔2024〕235号）、《连城县农村信用合作联社关于印发</w:t>
      </w:r>
      <w:r>
        <w:rPr>
          <w:rFonts w:hint="eastAsia" w:ascii="仿宋_GB2312" w:eastAsia="仿宋_GB2312" w:cs="仿宋_GB2312"/>
          <w:color w:val="000000"/>
          <w:sz w:val="32"/>
          <w:szCs w:val="32"/>
          <w:highlight w:val="none"/>
          <w:lang w:val="en-US" w:eastAsia="zh-CN"/>
        </w:rPr>
        <w:t>&lt;</w:t>
      </w:r>
      <w:r>
        <w:rPr>
          <w:rFonts w:hint="eastAsia" w:ascii="仿宋_GB2312" w:eastAsia="仿宋_GB2312" w:cs="仿宋_GB2312"/>
          <w:color w:val="000000"/>
          <w:sz w:val="32"/>
          <w:szCs w:val="32"/>
          <w:highlight w:val="none"/>
          <w:lang w:eastAsia="zh-CN"/>
        </w:rPr>
        <w:t>连城县农村信用合作联社资本管理应急预案</w:t>
      </w:r>
      <w:r>
        <w:rPr>
          <w:rFonts w:hint="eastAsia" w:ascii="仿宋_GB2312" w:eastAsia="仿宋_GB2312" w:cs="仿宋_GB2312"/>
          <w:color w:val="000000"/>
          <w:sz w:val="32"/>
          <w:szCs w:val="32"/>
          <w:highlight w:val="none"/>
          <w:lang w:val="en-US" w:eastAsia="zh-CN"/>
        </w:rPr>
        <w:t>&gt;</w:t>
      </w:r>
      <w:r>
        <w:rPr>
          <w:rFonts w:hint="eastAsia" w:ascii="仿宋_GB2312" w:eastAsia="仿宋_GB2312" w:cs="仿宋_GB2312"/>
          <w:color w:val="000000"/>
          <w:sz w:val="32"/>
          <w:szCs w:val="32"/>
          <w:highlight w:val="none"/>
          <w:lang w:eastAsia="zh-CN"/>
        </w:rPr>
        <w:t>的通知》（连农信〔2024〕240号）</w:t>
      </w:r>
      <w:r>
        <w:rPr>
          <w:rFonts w:hint="eastAsia" w:ascii="仿宋_GB2312" w:hAnsi="仿宋" w:eastAsia="仿宋_GB2312" w:cs="仿宋_GB2312"/>
          <w:sz w:val="32"/>
          <w:szCs w:val="32"/>
          <w:highlight w:val="none"/>
        </w:rPr>
        <w:t>等制度，确保对舆情风险总体可控。</w:t>
      </w:r>
      <w:r>
        <w:rPr>
          <w:rFonts w:hint="eastAsia" w:ascii="仿宋_GB2312" w:eastAsia="仿宋_GB2312"/>
          <w:sz w:val="32"/>
          <w:szCs w:val="30"/>
          <w:highlight w:val="none"/>
          <w:lang w:eastAsia="zh-CN"/>
        </w:rPr>
        <w:t>本社</w:t>
      </w:r>
      <w:r>
        <w:rPr>
          <w:rFonts w:hint="eastAsia" w:ascii="仿宋_GB2312" w:eastAsia="仿宋_GB2312"/>
          <w:sz w:val="32"/>
          <w:szCs w:val="30"/>
          <w:highlight w:val="none"/>
        </w:rPr>
        <w:t>将舆情监测作为一项日常工作持续进行，随时掌握社会有关</w:t>
      </w:r>
      <w:r>
        <w:rPr>
          <w:rFonts w:hint="eastAsia" w:ascii="仿宋_GB2312" w:eastAsia="仿宋_GB2312"/>
          <w:sz w:val="32"/>
          <w:szCs w:val="30"/>
          <w:highlight w:val="none"/>
          <w:lang w:eastAsia="zh-CN"/>
        </w:rPr>
        <w:t>本社</w:t>
      </w:r>
      <w:r>
        <w:rPr>
          <w:rFonts w:hint="eastAsia" w:ascii="仿宋_GB2312" w:eastAsia="仿宋_GB2312"/>
          <w:sz w:val="32"/>
          <w:szCs w:val="30"/>
          <w:highlight w:val="none"/>
        </w:rPr>
        <w:t>的舆情导向、特点和趋势。及时通过各类渠道了解相关信息，通过判断，筛选出相关不良舆情，记录其出处并分类。通过分类选择特重大或重大舆情先报、早报，</w:t>
      </w:r>
      <w:r>
        <w:rPr>
          <w:rFonts w:hint="eastAsia" w:ascii="仿宋_GB2312" w:hAnsi="仿宋" w:eastAsia="仿宋_GB2312" w:cs="仿宋_GB2312"/>
          <w:sz w:val="32"/>
          <w:szCs w:val="32"/>
          <w:highlight w:val="none"/>
        </w:rPr>
        <w:t>确保消费者权益得到保护，</w:t>
      </w:r>
      <w:r>
        <w:rPr>
          <w:rFonts w:hint="eastAsia" w:ascii="仿宋_GB2312" w:eastAsia="仿宋_GB2312"/>
          <w:sz w:val="32"/>
          <w:szCs w:val="30"/>
          <w:highlight w:val="none"/>
        </w:rPr>
        <w:t>尽可能减少不良的影响，</w:t>
      </w:r>
      <w:r>
        <w:rPr>
          <w:rFonts w:hint="eastAsia" w:ascii="仿宋_GB2312" w:hAnsi="仿宋" w:eastAsia="仿宋_GB2312" w:cs="仿宋_GB2312"/>
          <w:sz w:val="32"/>
          <w:szCs w:val="32"/>
          <w:highlight w:val="none"/>
        </w:rPr>
        <w:t>降低声誉风险。</w:t>
      </w:r>
    </w:p>
    <w:p>
      <w:pPr>
        <w:spacing w:line="520" w:lineRule="exact"/>
        <w:ind w:firstLine="600"/>
        <w:rPr>
          <w:rFonts w:ascii="黑体" w:hAnsi="黑体" w:eastAsia="黑体"/>
          <w:sz w:val="32"/>
          <w:szCs w:val="32"/>
          <w:highlight w:val="none"/>
        </w:rPr>
      </w:pPr>
      <w:r>
        <w:rPr>
          <w:rFonts w:hint="eastAsia" w:ascii="黑体" w:hAnsi="黑体" w:eastAsia="黑体"/>
          <w:sz w:val="32"/>
          <w:szCs w:val="32"/>
          <w:highlight w:val="none"/>
        </w:rPr>
        <w:t>三、未来发展目标的讨论与分析</w:t>
      </w:r>
    </w:p>
    <w:p>
      <w:pPr>
        <w:spacing w:line="520" w:lineRule="exact"/>
        <w:ind w:firstLine="600"/>
        <w:rPr>
          <w:rFonts w:ascii="楷体" w:hAnsi="楷体" w:eastAsia="楷体"/>
          <w:b/>
          <w:sz w:val="32"/>
          <w:szCs w:val="32"/>
          <w:highlight w:val="none"/>
        </w:rPr>
      </w:pPr>
      <w:r>
        <w:rPr>
          <w:rFonts w:hint="eastAsia" w:ascii="楷体_GB2312" w:hAnsi="楷体" w:eastAsia="楷体_GB2312"/>
          <w:b/>
          <w:sz w:val="32"/>
          <w:szCs w:val="32"/>
          <w:highlight w:val="none"/>
        </w:rPr>
        <w:t>(一)发展趋势和战略分析</w:t>
      </w:r>
    </w:p>
    <w:p>
      <w:pPr>
        <w:spacing w:line="520" w:lineRule="exact"/>
        <w:ind w:firstLine="624" w:firstLineChars="195"/>
        <w:rPr>
          <w:rFonts w:ascii="楷体_GB2312" w:hAnsi="楷体" w:eastAsia="楷体_GB2312"/>
          <w:b/>
          <w:color w:val="auto"/>
          <w:sz w:val="32"/>
          <w:szCs w:val="32"/>
          <w:highlight w:val="none"/>
        </w:rPr>
      </w:pPr>
      <w:r>
        <w:rPr>
          <w:rFonts w:hint="eastAsia" w:ascii="仿宋_GB2312" w:eastAsia="仿宋_GB2312"/>
          <w:color w:val="auto"/>
          <w:sz w:val="32"/>
          <w:szCs w:val="32"/>
          <w:highlight w:val="none"/>
        </w:rPr>
        <w:t>202</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连城农信联社将</w:t>
      </w:r>
      <w:r>
        <w:rPr>
          <w:rFonts w:hint="eastAsia" w:ascii="仿宋_GB2312" w:eastAsia="仿宋_GB2312"/>
          <w:color w:val="auto"/>
          <w:sz w:val="32"/>
          <w:szCs w:val="32"/>
          <w:highlight w:val="none"/>
          <w:lang w:val="en-US" w:eastAsia="zh-CN"/>
        </w:rPr>
        <w:t>深入贯彻党的二十届三中全会精神、习近平总书记在福建考察时的重要讲话精神和省联社决策部署，坚持稳中求进工作总基调，聚焦高质量发展，围绕稳增长，优结构，降成本，控风险，提效益等开展工作。</w:t>
      </w:r>
      <w:r>
        <w:rPr>
          <w:rFonts w:hint="eastAsia" w:ascii="仿宋_GB2312" w:eastAsia="仿宋_GB2312"/>
          <w:b/>
          <w:bCs/>
          <w:color w:val="auto"/>
          <w:sz w:val="32"/>
          <w:szCs w:val="32"/>
          <w:highlight w:val="none"/>
        </w:rPr>
        <w:t>一是</w:t>
      </w:r>
      <w:r>
        <w:rPr>
          <w:rFonts w:hint="eastAsia" w:ascii="仿宋_GB2312" w:eastAsia="仿宋_GB2312"/>
          <w:color w:val="auto"/>
          <w:sz w:val="32"/>
          <w:szCs w:val="32"/>
          <w:highlight w:val="none"/>
        </w:rPr>
        <w:t>加大信贷资金供给，助力</w:t>
      </w:r>
      <w:r>
        <w:rPr>
          <w:rFonts w:hint="eastAsia" w:ascii="仿宋_GB2312" w:eastAsia="仿宋_GB2312"/>
          <w:color w:val="auto"/>
          <w:sz w:val="32"/>
          <w:szCs w:val="32"/>
          <w:highlight w:val="none"/>
          <w:lang w:val="en-US" w:eastAsia="zh-CN"/>
        </w:rPr>
        <w:t>民营企业</w:t>
      </w:r>
      <w:r>
        <w:rPr>
          <w:rFonts w:hint="eastAsia" w:ascii="仿宋_GB2312" w:eastAsia="仿宋_GB2312"/>
          <w:color w:val="auto"/>
          <w:sz w:val="32"/>
          <w:szCs w:val="32"/>
          <w:highlight w:val="none"/>
        </w:rPr>
        <w:t>提质增效提升经济活力；</w:t>
      </w:r>
      <w:r>
        <w:rPr>
          <w:rFonts w:hint="eastAsia" w:ascii="仿宋_GB2312" w:eastAsia="仿宋_GB2312"/>
          <w:b/>
          <w:bCs/>
          <w:color w:val="auto"/>
          <w:sz w:val="32"/>
          <w:szCs w:val="32"/>
          <w:highlight w:val="none"/>
        </w:rPr>
        <w:t>二是</w:t>
      </w:r>
      <w:r>
        <w:rPr>
          <w:rFonts w:hint="eastAsia" w:ascii="仿宋_GB2312" w:eastAsia="仿宋_GB2312"/>
          <w:color w:val="auto"/>
          <w:sz w:val="32"/>
          <w:szCs w:val="32"/>
          <w:highlight w:val="none"/>
        </w:rPr>
        <w:t>支持本地</w:t>
      </w:r>
      <w:r>
        <w:rPr>
          <w:rFonts w:hint="eastAsia" w:ascii="仿宋_GB2312" w:eastAsia="仿宋_GB2312"/>
          <w:color w:val="auto"/>
          <w:sz w:val="32"/>
          <w:szCs w:val="32"/>
          <w:highlight w:val="none"/>
          <w:lang w:val="en-US" w:eastAsia="zh-CN"/>
        </w:rPr>
        <w:t>农业</w:t>
      </w:r>
      <w:r>
        <w:rPr>
          <w:rFonts w:hint="eastAsia" w:ascii="仿宋_GB2312" w:eastAsia="仿宋_GB2312"/>
          <w:color w:val="auto"/>
          <w:sz w:val="32"/>
          <w:szCs w:val="32"/>
          <w:highlight w:val="none"/>
        </w:rPr>
        <w:t>特色产业发展，促进乡村产业振兴</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全力满足农户和农业企业的农业生产资金需求；</w:t>
      </w:r>
      <w:r>
        <w:rPr>
          <w:rFonts w:hint="eastAsia" w:ascii="仿宋_GB2312" w:eastAsia="仿宋_GB2312"/>
          <w:b/>
          <w:bCs/>
          <w:color w:val="auto"/>
          <w:sz w:val="32"/>
          <w:szCs w:val="32"/>
          <w:highlight w:val="none"/>
        </w:rPr>
        <w:t>三是</w:t>
      </w:r>
      <w:r>
        <w:rPr>
          <w:rFonts w:hint="eastAsia" w:ascii="仿宋_GB2312" w:eastAsia="仿宋_GB2312"/>
          <w:color w:val="auto"/>
          <w:sz w:val="32"/>
          <w:szCs w:val="32"/>
          <w:highlight w:val="none"/>
        </w:rPr>
        <w:t>用好惠农惠企政策，持续降低融资成本；四是做实风险防控，不断提升资产质量。</w:t>
      </w:r>
    </w:p>
    <w:p>
      <w:pPr>
        <w:tabs>
          <w:tab w:val="center" w:pos="4716"/>
        </w:tabs>
        <w:spacing w:line="520" w:lineRule="exact"/>
        <w:ind w:firstLine="600"/>
        <w:rPr>
          <w:rFonts w:ascii="楷体_GB2312" w:hAnsi="楷体" w:eastAsia="楷体_GB2312"/>
          <w:b/>
          <w:color w:val="auto"/>
          <w:sz w:val="32"/>
          <w:szCs w:val="32"/>
          <w:highlight w:val="none"/>
        </w:rPr>
      </w:pPr>
      <w:r>
        <w:rPr>
          <w:rFonts w:hint="eastAsia" w:ascii="楷体_GB2312" w:hAnsi="楷体" w:eastAsia="楷体_GB2312"/>
          <w:b/>
          <w:color w:val="auto"/>
          <w:sz w:val="32"/>
          <w:szCs w:val="32"/>
          <w:highlight w:val="none"/>
        </w:rPr>
        <w:t>(二)202</w:t>
      </w:r>
      <w:r>
        <w:rPr>
          <w:rFonts w:hint="eastAsia" w:ascii="楷体_GB2312" w:hAnsi="楷体" w:eastAsia="楷体_GB2312"/>
          <w:b/>
          <w:color w:val="auto"/>
          <w:sz w:val="32"/>
          <w:szCs w:val="32"/>
          <w:highlight w:val="none"/>
          <w:lang w:val="en-US" w:eastAsia="zh-CN"/>
        </w:rPr>
        <w:t>5</w:t>
      </w:r>
      <w:r>
        <w:rPr>
          <w:rFonts w:hint="eastAsia" w:ascii="楷体_GB2312" w:hAnsi="楷体" w:eastAsia="楷体_GB2312"/>
          <w:b/>
          <w:color w:val="auto"/>
          <w:sz w:val="32"/>
          <w:szCs w:val="32"/>
          <w:highlight w:val="none"/>
        </w:rPr>
        <w:t>年度经营目标</w:t>
      </w:r>
      <w:r>
        <w:rPr>
          <w:rFonts w:ascii="楷体_GB2312" w:hAnsi="楷体" w:eastAsia="楷体_GB2312"/>
          <w:b/>
          <w:color w:val="auto"/>
          <w:sz w:val="32"/>
          <w:szCs w:val="32"/>
          <w:highlight w:val="none"/>
        </w:rPr>
        <w:tab/>
      </w:r>
    </w:p>
    <w:p>
      <w:pPr>
        <w:spacing w:line="520" w:lineRule="exact"/>
        <w:ind w:firstLine="626" w:firstLineChars="195"/>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主要经营目标是：</w:t>
      </w:r>
      <w:r>
        <w:rPr>
          <w:rFonts w:hint="eastAsia" w:ascii="仿宋_GB2312" w:eastAsia="仿宋_GB2312"/>
          <w:color w:val="auto"/>
          <w:sz w:val="32"/>
          <w:szCs w:val="32"/>
          <w:highlight w:val="none"/>
        </w:rPr>
        <w:t>各项存款新增</w:t>
      </w:r>
      <w:r>
        <w:rPr>
          <w:rFonts w:hint="eastAsia" w:ascii="仿宋_GB2312" w:eastAsia="仿宋_GB2312"/>
          <w:color w:val="auto"/>
          <w:sz w:val="32"/>
          <w:szCs w:val="32"/>
          <w:highlight w:val="none"/>
          <w:lang w:val="en-US" w:eastAsia="zh-CN"/>
        </w:rPr>
        <w:t>39000</w:t>
      </w:r>
      <w:r>
        <w:rPr>
          <w:rFonts w:hint="eastAsia" w:ascii="仿宋_GB2312" w:eastAsia="仿宋_GB2312"/>
          <w:color w:val="auto"/>
          <w:sz w:val="32"/>
          <w:szCs w:val="32"/>
          <w:highlight w:val="none"/>
        </w:rPr>
        <w:t>万元。各项贷款新增</w:t>
      </w:r>
      <w:r>
        <w:rPr>
          <w:rFonts w:hint="eastAsia" w:ascii="仿宋_GB2312" w:eastAsia="仿宋_GB2312"/>
          <w:color w:val="auto"/>
          <w:sz w:val="32"/>
          <w:szCs w:val="32"/>
          <w:highlight w:val="none"/>
          <w:lang w:val="en-US" w:eastAsia="zh-CN"/>
        </w:rPr>
        <w:t>20000</w:t>
      </w:r>
      <w:r>
        <w:rPr>
          <w:rFonts w:hint="eastAsia" w:ascii="仿宋_GB2312" w:eastAsia="仿宋_GB2312"/>
          <w:color w:val="auto"/>
          <w:sz w:val="32"/>
          <w:szCs w:val="32"/>
          <w:highlight w:val="none"/>
        </w:rPr>
        <w:t>万元。不良贷款占比年末控制在1.</w:t>
      </w:r>
      <w:r>
        <w:rPr>
          <w:rFonts w:hint="eastAsia" w:ascii="仿宋_GB2312" w:eastAsia="仿宋_GB2312"/>
          <w:color w:val="auto"/>
          <w:sz w:val="32"/>
          <w:szCs w:val="32"/>
          <w:highlight w:val="none"/>
          <w:lang w:val="en-US" w:eastAsia="zh-CN"/>
        </w:rPr>
        <w:t>65</w:t>
      </w:r>
      <w:r>
        <w:rPr>
          <w:rFonts w:hint="eastAsia" w:ascii="仿宋_GB2312" w:eastAsia="仿宋_GB2312"/>
          <w:color w:val="auto"/>
          <w:sz w:val="32"/>
          <w:szCs w:val="32"/>
          <w:highlight w:val="none"/>
        </w:rPr>
        <w:t>%以内；表外不良贷款清收1</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00万元。2025年各项收入40000万元。实现净利润5000万元以上。贷款拨备覆盖率达260%以上。资产减值准备充足率保持100%以上；资本充足率达到18%以上。</w:t>
      </w:r>
    </w:p>
    <w:p>
      <w:pPr>
        <w:spacing w:line="520" w:lineRule="exact"/>
        <w:ind w:firstLine="600"/>
        <w:rPr>
          <w:rFonts w:ascii="楷体_GB2312" w:hAnsi="楷体" w:eastAsia="楷体_GB2312"/>
          <w:b/>
          <w:sz w:val="32"/>
          <w:szCs w:val="32"/>
          <w:highlight w:val="none"/>
        </w:rPr>
      </w:pPr>
      <w:r>
        <w:rPr>
          <w:rFonts w:hint="eastAsia" w:ascii="楷体_GB2312" w:hAnsi="楷体" w:eastAsia="楷体_GB2312"/>
          <w:b/>
          <w:sz w:val="32"/>
          <w:szCs w:val="32"/>
          <w:highlight w:val="none"/>
        </w:rPr>
        <w:t>（三）202</w:t>
      </w:r>
      <w:r>
        <w:rPr>
          <w:rFonts w:hint="eastAsia" w:ascii="楷体_GB2312" w:hAnsi="楷体" w:eastAsia="楷体_GB2312"/>
          <w:b/>
          <w:sz w:val="32"/>
          <w:szCs w:val="32"/>
          <w:highlight w:val="none"/>
          <w:lang w:val="en-US" w:eastAsia="zh-CN"/>
        </w:rPr>
        <w:t>4</w:t>
      </w:r>
      <w:r>
        <w:rPr>
          <w:rFonts w:hint="eastAsia" w:ascii="楷体_GB2312" w:hAnsi="楷体" w:eastAsia="楷体_GB2312"/>
          <w:b/>
          <w:sz w:val="32"/>
          <w:szCs w:val="32"/>
          <w:highlight w:val="none"/>
        </w:rPr>
        <w:t>年度利润预分配方案</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根据经审计的连城县农村信用合作联社202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年度的会计报表，本次实际可供分配的利润为</w:t>
      </w:r>
      <w:r>
        <w:rPr>
          <w:rFonts w:hint="eastAsia" w:ascii="仿宋_GB2312" w:eastAsia="仿宋_GB2312"/>
          <w:color w:val="auto"/>
          <w:sz w:val="32"/>
          <w:szCs w:val="32"/>
          <w:highlight w:val="none"/>
          <w:lang w:val="en-US" w:eastAsia="zh-CN"/>
        </w:rPr>
        <w:t>5695</w:t>
      </w:r>
      <w:r>
        <w:rPr>
          <w:rFonts w:hint="eastAsia" w:ascii="仿宋_GB2312" w:eastAsia="仿宋_GB2312"/>
          <w:color w:val="auto"/>
          <w:sz w:val="32"/>
          <w:szCs w:val="32"/>
          <w:highlight w:val="none"/>
        </w:rPr>
        <w:t>万元，根据省联社年终决算意见和联社理事会会议要求，202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年利润分配方案：</w:t>
      </w:r>
    </w:p>
    <w:p>
      <w:pPr>
        <w:spacing w:line="520" w:lineRule="exact"/>
        <w:ind w:firstLine="570"/>
        <w:rPr>
          <w:rFonts w:ascii="仿宋_GB2312" w:eastAsia="仿宋_GB2312"/>
          <w:color w:val="auto"/>
          <w:sz w:val="32"/>
          <w:szCs w:val="32"/>
          <w:highlight w:val="none"/>
        </w:rPr>
      </w:pPr>
      <w:r>
        <w:rPr>
          <w:rFonts w:hint="eastAsia" w:ascii="仿宋_GB2312" w:eastAsia="仿宋_GB2312"/>
          <w:color w:val="auto"/>
          <w:sz w:val="32"/>
          <w:szCs w:val="32"/>
          <w:highlight w:val="none"/>
        </w:rPr>
        <w:t>1.按净利润的10%提取法定盈余公积</w:t>
      </w:r>
      <w:r>
        <w:rPr>
          <w:rFonts w:hint="eastAsia" w:ascii="仿宋_GB2312" w:eastAsia="仿宋_GB2312"/>
          <w:color w:val="auto"/>
          <w:sz w:val="32"/>
          <w:szCs w:val="32"/>
          <w:highlight w:val="none"/>
          <w:lang w:val="en-US" w:eastAsia="zh-CN"/>
        </w:rPr>
        <w:t>569.50</w:t>
      </w:r>
      <w:r>
        <w:rPr>
          <w:rFonts w:hint="eastAsia" w:ascii="仿宋_GB2312" w:eastAsia="仿宋_GB2312"/>
          <w:color w:val="auto"/>
          <w:sz w:val="32"/>
          <w:szCs w:val="32"/>
          <w:highlight w:val="none"/>
        </w:rPr>
        <w:t>万元。</w:t>
      </w:r>
    </w:p>
    <w:p>
      <w:pPr>
        <w:spacing w:line="520" w:lineRule="exact"/>
        <w:ind w:firstLine="570"/>
        <w:rPr>
          <w:rFonts w:ascii="仿宋_GB2312" w:eastAsia="仿宋_GB2312"/>
          <w:color w:val="auto"/>
          <w:sz w:val="32"/>
          <w:szCs w:val="32"/>
          <w:highlight w:val="none"/>
        </w:rPr>
      </w:pPr>
      <w:r>
        <w:rPr>
          <w:rFonts w:hint="eastAsia" w:ascii="仿宋_GB2312" w:eastAsia="仿宋_GB2312"/>
          <w:color w:val="auto"/>
          <w:sz w:val="32"/>
          <w:szCs w:val="32"/>
          <w:highlight w:val="none"/>
        </w:rPr>
        <w:t>2.按净利润的1%提取任意盈余公积</w:t>
      </w:r>
      <w:r>
        <w:rPr>
          <w:rFonts w:hint="eastAsia" w:ascii="仿宋_GB2312" w:eastAsia="仿宋_GB2312"/>
          <w:color w:val="auto"/>
          <w:sz w:val="32"/>
          <w:szCs w:val="32"/>
          <w:highlight w:val="none"/>
          <w:lang w:val="en-US" w:eastAsia="zh-CN"/>
        </w:rPr>
        <w:t>56.95</w:t>
      </w:r>
      <w:r>
        <w:rPr>
          <w:rFonts w:hint="eastAsia" w:ascii="仿宋_GB2312" w:eastAsia="仿宋_GB2312"/>
          <w:color w:val="auto"/>
          <w:sz w:val="32"/>
          <w:szCs w:val="32"/>
          <w:highlight w:val="none"/>
        </w:rPr>
        <w:t>万元。</w:t>
      </w:r>
    </w:p>
    <w:p>
      <w:pPr>
        <w:spacing w:line="520" w:lineRule="exact"/>
        <w:ind w:firstLine="570"/>
        <w:rPr>
          <w:rFonts w:ascii="仿宋_GB2312" w:eastAsia="仿宋_GB2312"/>
          <w:color w:val="auto"/>
          <w:sz w:val="32"/>
          <w:szCs w:val="32"/>
          <w:highlight w:val="none"/>
        </w:rPr>
      </w:pPr>
      <w:r>
        <w:rPr>
          <w:rFonts w:hint="eastAsia" w:ascii="仿宋_GB2312" w:eastAsia="仿宋_GB2312"/>
          <w:color w:val="auto"/>
          <w:sz w:val="32"/>
          <w:szCs w:val="32"/>
          <w:highlight w:val="none"/>
        </w:rPr>
        <w:t>3.按净利润的10%提取一般准备</w:t>
      </w:r>
      <w:r>
        <w:rPr>
          <w:rFonts w:hint="eastAsia" w:ascii="仿宋_GB2312" w:eastAsia="仿宋_GB2312"/>
          <w:color w:val="auto"/>
          <w:sz w:val="32"/>
          <w:szCs w:val="32"/>
          <w:highlight w:val="none"/>
          <w:lang w:val="en-US" w:eastAsia="zh-CN"/>
        </w:rPr>
        <w:t>569.50</w:t>
      </w:r>
      <w:r>
        <w:rPr>
          <w:rFonts w:hint="eastAsia" w:ascii="仿宋_GB2312" w:eastAsia="仿宋_GB2312"/>
          <w:color w:val="auto"/>
          <w:sz w:val="32"/>
          <w:szCs w:val="32"/>
          <w:highlight w:val="none"/>
        </w:rPr>
        <w:t>万元。</w:t>
      </w:r>
    </w:p>
    <w:p>
      <w:pPr>
        <w:spacing w:line="520" w:lineRule="exact"/>
        <w:ind w:firstLine="570"/>
        <w:rPr>
          <w:rFonts w:ascii="仿宋_GB2312" w:eastAsia="仿宋_GB2312"/>
          <w:color w:val="auto"/>
          <w:sz w:val="32"/>
          <w:szCs w:val="32"/>
          <w:highlight w:val="none"/>
        </w:rPr>
      </w:pPr>
      <w:r>
        <w:rPr>
          <w:rFonts w:hint="eastAsia" w:ascii="仿宋_GB2312" w:eastAsia="仿宋_GB2312"/>
          <w:color w:val="auto"/>
          <w:sz w:val="32"/>
          <w:szCs w:val="32"/>
          <w:highlight w:val="none"/>
        </w:rPr>
        <w:t>4.拟以202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年末总股本304935292股为基数分红，</w:t>
      </w:r>
      <w:r>
        <w:rPr>
          <w:rFonts w:ascii="仿宋_GB2312" w:eastAsia="仿宋_GB2312"/>
          <w:color w:val="auto"/>
          <w:sz w:val="32"/>
          <w:szCs w:val="32"/>
          <w:highlight w:val="none"/>
        </w:rPr>
        <w:t>202</w:t>
      </w:r>
      <w:r>
        <w:rPr>
          <w:rFonts w:hint="eastAsia" w:ascii="仿宋_GB2312" w:eastAsia="仿宋_GB2312"/>
          <w:color w:val="auto"/>
          <w:sz w:val="32"/>
          <w:szCs w:val="32"/>
          <w:highlight w:val="none"/>
          <w:lang w:val="en-US" w:eastAsia="zh-CN"/>
        </w:rPr>
        <w:t>4</w:t>
      </w:r>
      <w:r>
        <w:rPr>
          <w:rFonts w:ascii="仿宋_GB2312" w:eastAsia="仿宋_GB2312"/>
          <w:color w:val="auto"/>
          <w:sz w:val="32"/>
          <w:szCs w:val="32"/>
          <w:highlight w:val="none"/>
        </w:rPr>
        <w:t>年度分红方案</w:t>
      </w:r>
      <w:r>
        <w:rPr>
          <w:rFonts w:hint="eastAsia" w:ascii="仿宋_GB2312" w:eastAsia="仿宋_GB2312"/>
          <w:color w:val="auto"/>
          <w:sz w:val="32"/>
          <w:szCs w:val="32"/>
          <w:highlight w:val="none"/>
        </w:rPr>
        <w:t>需</w:t>
      </w:r>
      <w:r>
        <w:rPr>
          <w:rFonts w:ascii="仿宋_GB2312" w:eastAsia="仿宋_GB2312"/>
          <w:color w:val="auto"/>
          <w:sz w:val="32"/>
          <w:szCs w:val="32"/>
          <w:highlight w:val="none"/>
        </w:rPr>
        <w:t>经社员代表大会审议，待上级部门批复后，以批复为准。</w:t>
      </w:r>
    </w:p>
    <w:p>
      <w:pPr>
        <w:spacing w:line="520" w:lineRule="exact"/>
        <w:ind w:firstLine="600"/>
        <w:rPr>
          <w:rFonts w:ascii="仿宋_GB2312" w:eastAsia="仿宋_GB2312"/>
          <w:sz w:val="32"/>
          <w:szCs w:val="32"/>
          <w:highlight w:val="none"/>
        </w:rPr>
      </w:pPr>
      <w:r>
        <w:rPr>
          <w:rFonts w:hint="eastAsia" w:ascii="仿宋_GB2312" w:eastAsia="仿宋_GB2312"/>
          <w:color w:val="auto"/>
          <w:sz w:val="32"/>
          <w:szCs w:val="32"/>
          <w:highlight w:val="none"/>
        </w:rPr>
        <w:t>上述分配方案执行后</w:t>
      </w:r>
      <w:r>
        <w:rPr>
          <w:rFonts w:hint="eastAsia" w:ascii="仿宋_GB2312" w:eastAsia="仿宋_GB2312"/>
          <w:sz w:val="32"/>
          <w:szCs w:val="32"/>
          <w:highlight w:val="none"/>
        </w:rPr>
        <w:t>，结余未分配利润结转到下一年度，按照原银保监会对商业银行资本充足的相关文件要求，留做补充资本。</w:t>
      </w:r>
    </w:p>
    <w:p>
      <w:pPr>
        <w:spacing w:line="520" w:lineRule="exact"/>
        <w:ind w:firstLine="642" w:firstLineChars="200"/>
        <w:rPr>
          <w:rFonts w:ascii="楷体_GB2312" w:hAnsi="楷体" w:eastAsia="楷体_GB2312"/>
          <w:b/>
          <w:sz w:val="32"/>
          <w:szCs w:val="32"/>
          <w:highlight w:val="none"/>
        </w:rPr>
      </w:pPr>
      <w:r>
        <w:rPr>
          <w:rFonts w:hint="eastAsia" w:ascii="楷体_GB2312" w:hAnsi="楷体" w:eastAsia="楷体_GB2312"/>
          <w:b/>
          <w:sz w:val="32"/>
          <w:szCs w:val="32"/>
          <w:highlight w:val="none"/>
        </w:rPr>
        <w:t>（四）积极履行社会责任情况</w:t>
      </w:r>
    </w:p>
    <w:p>
      <w:pPr>
        <w:spacing w:line="520" w:lineRule="exact"/>
        <w:ind w:firstLine="758" w:firstLineChars="237"/>
        <w:rPr>
          <w:rFonts w:ascii="仿宋_GB2312" w:eastAsia="仿宋_GB2312"/>
          <w:sz w:val="32"/>
          <w:szCs w:val="32"/>
          <w:highlight w:val="none"/>
        </w:rPr>
      </w:pPr>
      <w:r>
        <w:rPr>
          <w:rFonts w:hint="eastAsia" w:ascii="仿宋_GB2312" w:eastAsia="仿宋_GB2312"/>
          <w:sz w:val="32"/>
          <w:szCs w:val="32"/>
          <w:highlight w:val="none"/>
        </w:rPr>
        <w:t>长期承担政策金融业务，如农户小额信用贷款、生源地信用助学贷款、创业担保贷款、退伍军人贷款、提质增产争效贷款、乡村振兴贷等政策性贷款，同时开展助学活动，202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w:t>
      </w:r>
      <w:r>
        <w:rPr>
          <w:rFonts w:hint="eastAsia" w:ascii="仿宋_GB2312" w:eastAsia="仿宋_GB2312"/>
          <w:sz w:val="32"/>
          <w:szCs w:val="32"/>
          <w:highlight w:val="none"/>
          <w:lang w:eastAsia="zh-CN"/>
        </w:rPr>
        <w:t>本社</w:t>
      </w:r>
      <w:r>
        <w:rPr>
          <w:rFonts w:hint="eastAsia" w:ascii="仿宋_GB2312" w:eastAsia="仿宋_GB2312"/>
          <w:sz w:val="32"/>
          <w:szCs w:val="32"/>
          <w:highlight w:val="none"/>
        </w:rPr>
        <w:t>共资助10名当年考入大学的贫困大学生。</w:t>
      </w:r>
    </w:p>
    <w:p>
      <w:pPr>
        <w:spacing w:line="520" w:lineRule="exact"/>
        <w:ind w:firstLine="600"/>
        <w:rPr>
          <w:rFonts w:ascii="仿宋_GB2312" w:eastAsia="仿宋_GB2312"/>
          <w:sz w:val="32"/>
          <w:szCs w:val="32"/>
          <w:highlight w:val="none"/>
        </w:rPr>
      </w:pPr>
    </w:p>
    <w:p>
      <w:pPr>
        <w:spacing w:line="520" w:lineRule="exact"/>
        <w:jc w:val="center"/>
        <w:rPr>
          <w:rFonts w:ascii="黑体" w:hAnsi="仿宋" w:eastAsia="黑体"/>
          <w:sz w:val="32"/>
          <w:szCs w:val="32"/>
          <w:highlight w:val="none"/>
        </w:rPr>
      </w:pPr>
      <w:r>
        <w:rPr>
          <w:rFonts w:hint="eastAsia" w:ascii="黑体" w:hAnsi="仿宋" w:eastAsia="黑体"/>
          <w:sz w:val="32"/>
          <w:szCs w:val="32"/>
          <w:highlight w:val="none"/>
        </w:rPr>
        <w:t>第六章   重要事项</w:t>
      </w:r>
    </w:p>
    <w:p>
      <w:pPr>
        <w:spacing w:line="520" w:lineRule="exact"/>
        <w:ind w:firstLine="640" w:firstLineChars="200"/>
        <w:rPr>
          <w:rFonts w:ascii="仿宋_GB2312" w:hAnsi="仿宋" w:eastAsia="仿宋_GB2312" w:cs="宋体"/>
          <w:bCs/>
          <w:kern w:val="0"/>
          <w:sz w:val="32"/>
          <w:szCs w:val="32"/>
          <w:highlight w:val="none"/>
        </w:rPr>
      </w:pPr>
      <w:r>
        <w:rPr>
          <w:rFonts w:hint="eastAsia" w:ascii="仿宋_GB2312" w:hAnsi="仿宋" w:eastAsia="仿宋_GB2312" w:cs="宋体"/>
          <w:bCs/>
          <w:kern w:val="0"/>
          <w:sz w:val="32"/>
          <w:szCs w:val="32"/>
          <w:highlight w:val="none"/>
        </w:rPr>
        <w:t>连城县农村信用合作联社本年度股权结构变动、章程、注册资本、注册地址变动、机构分立、合并、监管部门和司法部门处罚情况、以及其他有必要让公众了解的重要信息等重要事项。</w:t>
      </w:r>
      <w:bookmarkStart w:id="4" w:name="_Toc511721817"/>
    </w:p>
    <w:p>
      <w:pPr>
        <w:spacing w:line="52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一、监管部门检查及处罚情况</w:t>
      </w:r>
    </w:p>
    <w:p>
      <w:pPr>
        <w:spacing w:line="520" w:lineRule="exact"/>
        <w:ind w:firstLine="566" w:firstLineChars="177"/>
        <w:rPr>
          <w:rFonts w:ascii="仿宋_GB2312" w:eastAsia="仿宋_GB2312"/>
          <w:color w:val="000000" w:themeColor="text1"/>
          <w:sz w:val="32"/>
          <w:szCs w:val="32"/>
          <w:highlight w:val="none"/>
        </w:rPr>
      </w:pPr>
      <w:r>
        <w:rPr>
          <w:rFonts w:hint="eastAsia" w:ascii="仿宋_GB2312" w:hAnsi="仿宋" w:eastAsia="仿宋_GB2312" w:cs="仿宋_GB2312"/>
          <w:sz w:val="32"/>
          <w:szCs w:val="32"/>
          <w:highlight w:val="none"/>
        </w:rPr>
        <w:t>202</w:t>
      </w:r>
      <w:r>
        <w:rPr>
          <w:rFonts w:hint="eastAsia" w:ascii="仿宋_GB2312" w:hAnsi="仿宋" w:eastAsia="仿宋_GB2312" w:cs="仿宋_GB2312"/>
          <w:sz w:val="32"/>
          <w:szCs w:val="32"/>
          <w:highlight w:val="none"/>
          <w:lang w:val="en-US" w:eastAsia="zh-CN"/>
        </w:rPr>
        <w:t>4</w:t>
      </w:r>
      <w:r>
        <w:rPr>
          <w:rFonts w:hint="eastAsia" w:ascii="仿宋_GB2312" w:hAnsi="仿宋" w:eastAsia="仿宋_GB2312" w:cs="仿宋_GB2312"/>
          <w:sz w:val="32"/>
          <w:szCs w:val="32"/>
          <w:highlight w:val="none"/>
        </w:rPr>
        <w:t>年</w:t>
      </w:r>
      <w:r>
        <w:rPr>
          <w:rFonts w:hint="eastAsia" w:ascii="仿宋_GB2312" w:hAnsi="仿宋" w:eastAsia="仿宋_GB2312" w:cs="仿宋_GB2312"/>
          <w:sz w:val="32"/>
          <w:szCs w:val="32"/>
          <w:highlight w:val="none"/>
          <w:lang w:val="en-US" w:eastAsia="zh-CN"/>
        </w:rPr>
        <w:t>7</w:t>
      </w:r>
      <w:r>
        <w:rPr>
          <w:rFonts w:hint="eastAsia" w:ascii="仿宋_GB2312" w:hAnsi="仿宋" w:eastAsia="仿宋_GB2312" w:cs="仿宋_GB2312"/>
          <w:sz w:val="32"/>
          <w:szCs w:val="32"/>
          <w:highlight w:val="none"/>
        </w:rPr>
        <w:t>月，龙岩监管分局对</w:t>
      </w:r>
      <w:r>
        <w:rPr>
          <w:rFonts w:hint="eastAsia" w:ascii="仿宋_GB2312" w:hAnsi="仿宋" w:eastAsia="仿宋_GB2312" w:cs="仿宋_GB2312"/>
          <w:sz w:val="32"/>
          <w:szCs w:val="32"/>
          <w:highlight w:val="none"/>
          <w:lang w:eastAsia="zh-CN"/>
        </w:rPr>
        <w:t>本社</w:t>
      </w:r>
      <w:r>
        <w:rPr>
          <w:rFonts w:hint="eastAsia" w:ascii="仿宋_GB2312" w:hAnsi="仿宋" w:eastAsia="仿宋_GB2312" w:cs="仿宋_GB2312"/>
          <w:sz w:val="32"/>
          <w:szCs w:val="32"/>
          <w:highlight w:val="none"/>
        </w:rPr>
        <w:t>开展信贷资产质量专项调查，</w:t>
      </w:r>
      <w:r>
        <w:rPr>
          <w:rFonts w:hint="eastAsia" w:ascii="仿宋_GB2312" w:hAnsi="仿宋" w:eastAsia="仿宋_GB2312" w:cs="仿宋_GB2312"/>
          <w:sz w:val="32"/>
          <w:szCs w:val="32"/>
          <w:highlight w:val="none"/>
          <w:lang w:eastAsia="zh-CN"/>
        </w:rPr>
        <w:t>本社</w:t>
      </w:r>
      <w:r>
        <w:rPr>
          <w:rFonts w:hint="eastAsia" w:ascii="仿宋_GB2312" w:eastAsia="仿宋_GB2312"/>
          <w:color w:val="000000" w:themeColor="text1"/>
          <w:sz w:val="32"/>
          <w:szCs w:val="32"/>
          <w:highlight w:val="none"/>
        </w:rPr>
        <w:t>因</w:t>
      </w:r>
      <w:r>
        <w:rPr>
          <w:rFonts w:hint="eastAsia" w:ascii="仿宋_GB2312" w:eastAsia="仿宋_GB2312"/>
          <w:color w:val="000000" w:themeColor="text1"/>
          <w:sz w:val="32"/>
          <w:szCs w:val="32"/>
          <w:highlight w:val="none"/>
          <w:lang w:val="en-US" w:eastAsia="zh-CN"/>
        </w:rPr>
        <w:t>贷款五级分类不准确</w:t>
      </w:r>
      <w:r>
        <w:rPr>
          <w:rFonts w:hint="eastAsia" w:ascii="仿宋_GB2312" w:eastAsia="仿宋_GB2312"/>
          <w:color w:val="000000" w:themeColor="text1"/>
          <w:sz w:val="32"/>
          <w:szCs w:val="32"/>
          <w:highlight w:val="none"/>
        </w:rPr>
        <w:t>，被处以</w:t>
      </w:r>
      <w:r>
        <w:rPr>
          <w:rFonts w:hint="eastAsia" w:ascii="仿宋_GB2312" w:eastAsia="仿宋_GB2312"/>
          <w:color w:val="000000" w:themeColor="text1"/>
          <w:sz w:val="32"/>
          <w:szCs w:val="32"/>
          <w:highlight w:val="none"/>
          <w:lang w:val="en-US" w:eastAsia="zh-CN"/>
        </w:rPr>
        <w:t>4</w:t>
      </w:r>
      <w:r>
        <w:rPr>
          <w:rFonts w:hint="eastAsia" w:ascii="仿宋_GB2312" w:eastAsia="仿宋_GB2312"/>
          <w:color w:val="000000" w:themeColor="text1"/>
          <w:sz w:val="32"/>
          <w:szCs w:val="32"/>
          <w:highlight w:val="none"/>
        </w:rPr>
        <w:t>0万元罚款，对</w:t>
      </w:r>
      <w:r>
        <w:rPr>
          <w:rFonts w:hint="eastAsia" w:ascii="仿宋_GB2312" w:eastAsia="仿宋_GB2312"/>
          <w:color w:val="000000" w:themeColor="text1"/>
          <w:sz w:val="32"/>
          <w:szCs w:val="32"/>
          <w:highlight w:val="none"/>
          <w:lang w:val="en-US" w:eastAsia="zh-CN"/>
        </w:rPr>
        <w:t>曾绍宇</w:t>
      </w:r>
      <w:r>
        <w:rPr>
          <w:rFonts w:hint="eastAsia" w:ascii="仿宋_GB2312" w:eastAsia="仿宋_GB2312"/>
          <w:color w:val="000000" w:themeColor="text1"/>
          <w:sz w:val="32"/>
          <w:szCs w:val="32"/>
          <w:highlight w:val="none"/>
        </w:rPr>
        <w:t>给予警告。（岩</w:t>
      </w:r>
      <w:r>
        <w:rPr>
          <w:rFonts w:hint="eastAsia" w:ascii="仿宋_GB2312" w:eastAsia="仿宋_GB2312"/>
          <w:color w:val="000000" w:themeColor="text1"/>
          <w:sz w:val="32"/>
          <w:szCs w:val="32"/>
          <w:highlight w:val="none"/>
          <w:lang w:val="en-US" w:eastAsia="zh-CN"/>
        </w:rPr>
        <w:t>金</w:t>
      </w:r>
      <w:r>
        <w:rPr>
          <w:rFonts w:hint="eastAsia" w:ascii="仿宋_GB2312" w:eastAsia="仿宋_GB2312"/>
          <w:color w:val="000000" w:themeColor="text1"/>
          <w:sz w:val="32"/>
          <w:szCs w:val="32"/>
          <w:highlight w:val="none"/>
        </w:rPr>
        <w:t>监罚决字〔202</w:t>
      </w:r>
      <w:r>
        <w:rPr>
          <w:rFonts w:hint="eastAsia" w:ascii="仿宋_GB2312" w:eastAsia="仿宋_GB2312"/>
          <w:color w:val="000000" w:themeColor="text1"/>
          <w:sz w:val="32"/>
          <w:szCs w:val="32"/>
          <w:highlight w:val="none"/>
          <w:lang w:val="en-US" w:eastAsia="zh-CN"/>
        </w:rPr>
        <w:t>4</w:t>
      </w:r>
      <w:r>
        <w:rPr>
          <w:rFonts w:hint="eastAsia" w:ascii="仿宋_GB2312" w:eastAsia="仿宋_GB2312"/>
          <w:color w:val="000000" w:themeColor="text1"/>
          <w:sz w:val="32"/>
          <w:szCs w:val="32"/>
          <w:highlight w:val="none"/>
        </w:rPr>
        <w:t>〕</w:t>
      </w:r>
      <w:r>
        <w:rPr>
          <w:rFonts w:hint="eastAsia" w:ascii="仿宋_GB2312" w:eastAsia="仿宋_GB2312"/>
          <w:color w:val="000000" w:themeColor="text1"/>
          <w:sz w:val="32"/>
          <w:szCs w:val="32"/>
          <w:highlight w:val="none"/>
          <w:lang w:val="en-US" w:eastAsia="zh-CN"/>
        </w:rPr>
        <w:t>2</w:t>
      </w:r>
      <w:r>
        <w:rPr>
          <w:rFonts w:hint="eastAsia" w:ascii="仿宋_GB2312" w:eastAsia="仿宋_GB2312"/>
          <w:color w:val="000000" w:themeColor="text1"/>
          <w:sz w:val="32"/>
          <w:szCs w:val="32"/>
          <w:highlight w:val="none"/>
        </w:rPr>
        <w:t>号）。</w:t>
      </w:r>
    </w:p>
    <w:p>
      <w:pPr>
        <w:spacing w:line="52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二、按预期信用损失法执行情况</w:t>
      </w:r>
    </w:p>
    <w:p>
      <w:pPr>
        <w:spacing w:line="520" w:lineRule="exact"/>
        <w:ind w:firstLine="640" w:firstLineChars="200"/>
        <w:rPr>
          <w:rFonts w:ascii="仿宋_GB2312" w:hAnsi="仿宋" w:eastAsia="仿宋_GB2312"/>
          <w:sz w:val="32"/>
          <w:szCs w:val="32"/>
          <w:highlight w:val="none"/>
        </w:rPr>
      </w:pPr>
      <w:r>
        <w:rPr>
          <w:rFonts w:hint="eastAsia" w:ascii="仿宋_GB2312" w:hAnsi="黑体" w:eastAsia="仿宋_GB2312"/>
          <w:sz w:val="32"/>
          <w:szCs w:val="32"/>
          <w:highlight w:val="none"/>
        </w:rPr>
        <w:t>按预期信用损失法执行，测算202</w:t>
      </w:r>
      <w:r>
        <w:rPr>
          <w:rFonts w:hint="eastAsia" w:ascii="仿宋_GB2312" w:hAnsi="黑体" w:eastAsia="仿宋_GB2312"/>
          <w:sz w:val="32"/>
          <w:szCs w:val="32"/>
          <w:highlight w:val="none"/>
          <w:lang w:val="en-US" w:eastAsia="zh-CN"/>
        </w:rPr>
        <w:t>4</w:t>
      </w:r>
      <w:r>
        <w:rPr>
          <w:rFonts w:hint="eastAsia" w:ascii="仿宋_GB2312" w:hAnsi="黑体" w:eastAsia="仿宋_GB2312"/>
          <w:sz w:val="32"/>
          <w:szCs w:val="32"/>
          <w:highlight w:val="none"/>
        </w:rPr>
        <w:t>年末应提表内贷款损失准备情况，</w:t>
      </w:r>
      <w:r>
        <w:rPr>
          <w:rFonts w:hint="eastAsia" w:ascii="仿宋_GB2312" w:hAnsi="仿宋" w:eastAsia="仿宋_GB2312"/>
          <w:sz w:val="32"/>
          <w:szCs w:val="32"/>
          <w:highlight w:val="none"/>
        </w:rPr>
        <w:t>按预期信用损失法测算202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初</w:t>
      </w:r>
      <w:r>
        <w:rPr>
          <w:rFonts w:hint="eastAsia" w:ascii="仿宋_GB2312" w:hAnsi="仿宋" w:eastAsia="仿宋_GB2312"/>
          <w:sz w:val="32"/>
          <w:szCs w:val="32"/>
          <w:highlight w:val="none"/>
        </w:rPr>
        <w:t>应提表内贷款损失准备为</w:t>
      </w:r>
      <w:r>
        <w:rPr>
          <w:rFonts w:hint="eastAsia" w:ascii="仿宋_GB2312" w:hAnsi="仿宋" w:eastAsia="仿宋_GB2312"/>
          <w:sz w:val="32"/>
          <w:szCs w:val="32"/>
          <w:highlight w:val="none"/>
          <w:lang w:val="en-US" w:eastAsia="zh-CN"/>
        </w:rPr>
        <w:t>18294</w:t>
      </w:r>
      <w:r>
        <w:rPr>
          <w:rFonts w:hint="eastAsia" w:ascii="仿宋_GB2312" w:hAnsi="仿宋" w:eastAsia="仿宋_GB2312"/>
          <w:sz w:val="32"/>
          <w:szCs w:val="32"/>
          <w:highlight w:val="none"/>
        </w:rPr>
        <w:t>万元，应提非信贷金融资产损失准备为</w:t>
      </w:r>
      <w:r>
        <w:rPr>
          <w:rFonts w:hint="eastAsia" w:ascii="仿宋_GB2312" w:hAnsi="仿宋" w:eastAsia="仿宋_GB2312"/>
          <w:sz w:val="32"/>
          <w:szCs w:val="32"/>
          <w:highlight w:val="none"/>
          <w:lang w:val="en-US" w:eastAsia="zh-CN"/>
        </w:rPr>
        <w:t>1035</w:t>
      </w:r>
      <w:r>
        <w:rPr>
          <w:rFonts w:hint="eastAsia" w:ascii="仿宋_GB2312" w:hAnsi="仿宋" w:eastAsia="仿宋_GB2312"/>
          <w:sz w:val="32"/>
          <w:szCs w:val="32"/>
          <w:highlight w:val="none"/>
        </w:rPr>
        <w:t>万元，应提表外业务损失准备为3</w:t>
      </w:r>
      <w:r>
        <w:rPr>
          <w:rFonts w:ascii="仿宋_GB2312" w:hAnsi="仿宋" w:eastAsia="仿宋_GB2312"/>
          <w:sz w:val="32"/>
          <w:szCs w:val="32"/>
          <w:highlight w:val="none"/>
        </w:rPr>
        <w:t>5</w:t>
      </w:r>
      <w:r>
        <w:rPr>
          <w:rFonts w:hint="eastAsia" w:ascii="仿宋_GB2312" w:hAnsi="仿宋" w:eastAsia="仿宋_GB2312"/>
          <w:sz w:val="32"/>
          <w:szCs w:val="32"/>
          <w:highlight w:val="none"/>
          <w:lang w:val="en-US" w:eastAsia="zh-CN"/>
        </w:rPr>
        <w:t>9</w:t>
      </w:r>
      <w:r>
        <w:rPr>
          <w:rFonts w:hint="eastAsia" w:ascii="仿宋_GB2312" w:hAnsi="仿宋" w:eastAsia="仿宋_GB2312"/>
          <w:sz w:val="32"/>
          <w:szCs w:val="32"/>
          <w:highlight w:val="none"/>
        </w:rPr>
        <w:t>万元。</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通过管理层叠加方案增提表内贷款损失准备</w:t>
      </w:r>
      <w:r>
        <w:rPr>
          <w:rFonts w:hint="eastAsia" w:ascii="仿宋_GB2312" w:hAnsi="仿宋" w:eastAsia="仿宋_GB2312"/>
          <w:sz w:val="32"/>
          <w:szCs w:val="32"/>
          <w:highlight w:val="none"/>
          <w:lang w:val="en-US" w:eastAsia="zh-CN"/>
        </w:rPr>
        <w:t>16455</w:t>
      </w:r>
      <w:r>
        <w:rPr>
          <w:rFonts w:hint="eastAsia" w:ascii="仿宋_GB2312" w:hAnsi="仿宋" w:eastAsia="仿宋_GB2312"/>
          <w:sz w:val="32"/>
          <w:szCs w:val="32"/>
          <w:highlight w:val="none"/>
        </w:rPr>
        <w:t>万元，增提金融资产损失准备</w:t>
      </w:r>
      <w:r>
        <w:rPr>
          <w:rFonts w:hint="eastAsia" w:ascii="仿宋_GB2312" w:hAnsi="仿宋" w:eastAsia="仿宋_GB2312"/>
          <w:sz w:val="32"/>
          <w:szCs w:val="32"/>
          <w:highlight w:val="none"/>
          <w:lang w:val="en-US" w:eastAsia="zh-CN"/>
        </w:rPr>
        <w:t>35</w:t>
      </w:r>
      <w:r>
        <w:rPr>
          <w:rFonts w:hint="eastAsia" w:ascii="仿宋_GB2312" w:hAnsi="仿宋" w:eastAsia="仿宋_GB2312"/>
          <w:sz w:val="32"/>
          <w:szCs w:val="32"/>
          <w:highlight w:val="none"/>
        </w:rPr>
        <w:t>万元。</w:t>
      </w:r>
    </w:p>
    <w:p>
      <w:pPr>
        <w:spacing w:line="520" w:lineRule="exact"/>
        <w:ind w:firstLine="640" w:firstLineChars="200"/>
        <w:rPr>
          <w:rFonts w:ascii="黑体" w:hAnsi="黑体" w:eastAsia="黑体"/>
          <w:sz w:val="32"/>
          <w:szCs w:val="32"/>
          <w:highlight w:val="none"/>
        </w:rPr>
      </w:pPr>
      <w:r>
        <w:rPr>
          <w:rFonts w:hint="eastAsia" w:ascii="仿宋_GB2312" w:hAnsi="仿宋" w:eastAsia="仿宋_GB2312"/>
          <w:sz w:val="32"/>
          <w:szCs w:val="32"/>
          <w:highlight w:val="none"/>
        </w:rPr>
        <w:t>增提后202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年年末表内贷款损失准备为</w:t>
      </w:r>
      <w:r>
        <w:rPr>
          <w:rFonts w:hint="eastAsia" w:ascii="仿宋_GB2312" w:hAnsi="仿宋" w:eastAsia="仿宋_GB2312"/>
          <w:sz w:val="32"/>
          <w:szCs w:val="32"/>
          <w:highlight w:val="none"/>
          <w:lang w:val="en-US" w:eastAsia="zh-CN"/>
        </w:rPr>
        <w:t>34749</w:t>
      </w:r>
      <w:r>
        <w:rPr>
          <w:rFonts w:hint="eastAsia" w:ascii="仿宋_GB2312" w:hAnsi="仿宋" w:eastAsia="仿宋_GB2312"/>
          <w:sz w:val="32"/>
          <w:szCs w:val="32"/>
          <w:highlight w:val="none"/>
        </w:rPr>
        <w:t>万元，应提非信贷金融资产损失准备为</w:t>
      </w:r>
      <w:r>
        <w:rPr>
          <w:rFonts w:ascii="仿宋_GB2312" w:hAnsi="仿宋" w:eastAsia="仿宋_GB2312"/>
          <w:sz w:val="32"/>
          <w:szCs w:val="32"/>
          <w:highlight w:val="none"/>
        </w:rPr>
        <w:t>10</w:t>
      </w:r>
      <w:r>
        <w:rPr>
          <w:rFonts w:hint="eastAsia" w:ascii="仿宋_GB2312" w:hAnsi="仿宋" w:eastAsia="仿宋_GB2312"/>
          <w:sz w:val="32"/>
          <w:szCs w:val="32"/>
          <w:highlight w:val="none"/>
          <w:lang w:val="en-US" w:eastAsia="zh-CN"/>
        </w:rPr>
        <w:t>70</w:t>
      </w:r>
      <w:r>
        <w:rPr>
          <w:rFonts w:hint="eastAsia" w:ascii="仿宋_GB2312" w:hAnsi="仿宋" w:eastAsia="仿宋_GB2312"/>
          <w:sz w:val="32"/>
          <w:szCs w:val="32"/>
          <w:highlight w:val="none"/>
        </w:rPr>
        <w:t>万元，应提表外业务损失准备为</w:t>
      </w:r>
      <w:r>
        <w:rPr>
          <w:rFonts w:hint="eastAsia" w:ascii="仿宋_GB2312" w:hAnsi="仿宋" w:eastAsia="仿宋_GB2312"/>
          <w:sz w:val="32"/>
          <w:szCs w:val="32"/>
          <w:highlight w:val="none"/>
          <w:lang w:val="en-US" w:eastAsia="zh-CN"/>
        </w:rPr>
        <w:t>228</w:t>
      </w:r>
      <w:r>
        <w:rPr>
          <w:rFonts w:hint="eastAsia" w:ascii="仿宋_GB2312" w:hAnsi="仿宋" w:eastAsia="仿宋_GB2312"/>
          <w:sz w:val="32"/>
          <w:szCs w:val="32"/>
          <w:highlight w:val="none"/>
        </w:rPr>
        <w:t>万元。</w:t>
      </w:r>
    </w:p>
    <w:p>
      <w:pPr>
        <w:spacing w:line="52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三、小微企业金融服务情况</w:t>
      </w:r>
    </w:p>
    <w:p>
      <w:pPr>
        <w:spacing w:line="520" w:lineRule="exact"/>
        <w:ind w:firstLine="642" w:firstLineChars="200"/>
        <w:rPr>
          <w:rFonts w:hint="eastAsia" w:ascii="仿宋_GB2312" w:hAnsi="仿宋_GB2312" w:eastAsia="仿宋_GB2312" w:cs="仿宋_GB2312"/>
          <w:sz w:val="32"/>
          <w:szCs w:val="32"/>
          <w:highlight w:val="none"/>
        </w:rPr>
      </w:pPr>
      <w:r>
        <w:rPr>
          <w:rFonts w:hint="eastAsia" w:ascii="楷体_GB2312" w:hAnsi="楷体" w:eastAsia="楷体_GB2312" w:cs="楷体"/>
          <w:b/>
          <w:bCs/>
          <w:sz w:val="32"/>
          <w:szCs w:val="32"/>
          <w:highlight w:val="none"/>
        </w:rPr>
        <w:t>（一）持续加大小微企业贷款投放。</w:t>
      </w:r>
      <w:r>
        <w:rPr>
          <w:rFonts w:hint="eastAsia" w:ascii="仿宋_GB2312" w:eastAsia="仿宋_GB2312"/>
          <w:color w:val="000000"/>
          <w:sz w:val="32"/>
          <w:szCs w:val="32"/>
          <w:highlight w:val="none"/>
        </w:rPr>
        <w:t>至</w:t>
      </w:r>
      <w:r>
        <w:rPr>
          <w:rFonts w:hint="eastAsia" w:ascii="仿宋_GB2312" w:eastAsia="仿宋_GB2312"/>
          <w:color w:val="000000"/>
          <w:sz w:val="32"/>
          <w:szCs w:val="32"/>
          <w:highlight w:val="none"/>
          <w:lang w:val="en-US" w:eastAsia="zh-CN"/>
        </w:rPr>
        <w:t>2024年</w:t>
      </w:r>
      <w:r>
        <w:rPr>
          <w:rFonts w:hint="eastAsia" w:ascii="仿宋_GB2312" w:eastAsia="仿宋_GB2312"/>
          <w:color w:val="000000"/>
          <w:sz w:val="32"/>
          <w:szCs w:val="32"/>
          <w:highlight w:val="none"/>
        </w:rPr>
        <w:t>末，普惠型小微企业贷款余额24.</w:t>
      </w:r>
      <w:r>
        <w:rPr>
          <w:rFonts w:hint="eastAsia" w:ascii="仿宋_GB2312" w:eastAsia="仿宋_GB2312"/>
          <w:color w:val="000000"/>
          <w:sz w:val="32"/>
          <w:szCs w:val="32"/>
          <w:highlight w:val="none"/>
          <w:lang w:val="en-US" w:eastAsia="zh-CN"/>
        </w:rPr>
        <w:t>82</w:t>
      </w:r>
      <w:r>
        <w:rPr>
          <w:rFonts w:hint="eastAsia" w:ascii="仿宋_GB2312" w:eastAsia="仿宋_GB2312"/>
          <w:color w:val="000000"/>
          <w:sz w:val="32"/>
          <w:szCs w:val="32"/>
          <w:highlight w:val="none"/>
        </w:rPr>
        <w:t>亿元，比年初增加</w:t>
      </w:r>
      <w:r>
        <w:rPr>
          <w:rFonts w:hint="eastAsia" w:ascii="仿宋_GB2312" w:eastAsia="仿宋_GB2312"/>
          <w:color w:val="000000"/>
          <w:sz w:val="32"/>
          <w:szCs w:val="32"/>
          <w:highlight w:val="none"/>
          <w:lang w:val="en-US" w:eastAsia="zh-CN"/>
        </w:rPr>
        <w:t>2.5</w:t>
      </w:r>
      <w:r>
        <w:rPr>
          <w:rFonts w:hint="eastAsia" w:ascii="仿宋_GB2312" w:eastAsia="仿宋_GB2312"/>
          <w:color w:val="000000"/>
          <w:sz w:val="32"/>
          <w:szCs w:val="32"/>
          <w:highlight w:val="none"/>
        </w:rPr>
        <w:t>亿元，增幅</w:t>
      </w:r>
      <w:r>
        <w:rPr>
          <w:rFonts w:hint="eastAsia" w:ascii="仿宋_GB2312" w:eastAsia="仿宋_GB2312"/>
          <w:color w:val="000000"/>
          <w:sz w:val="32"/>
          <w:szCs w:val="32"/>
          <w:highlight w:val="none"/>
          <w:lang w:val="en-US" w:eastAsia="zh-CN"/>
        </w:rPr>
        <w:t>11.19</w:t>
      </w:r>
      <w:r>
        <w:rPr>
          <w:rFonts w:hint="eastAsia" w:ascii="仿宋_GB2312" w:eastAsia="仿宋_GB2312"/>
          <w:color w:val="000000"/>
          <w:sz w:val="32"/>
          <w:szCs w:val="32"/>
          <w:highlight w:val="none"/>
        </w:rPr>
        <w:t>%，高于各项贷款增速</w:t>
      </w:r>
      <w:r>
        <w:rPr>
          <w:rFonts w:hint="eastAsia" w:ascii="仿宋_GB2312" w:eastAsia="仿宋_GB2312"/>
          <w:color w:val="000000"/>
          <w:sz w:val="32"/>
          <w:szCs w:val="32"/>
          <w:highlight w:val="none"/>
          <w:lang w:val="en-US" w:eastAsia="zh-CN"/>
        </w:rPr>
        <w:t>7.59</w:t>
      </w:r>
      <w:r>
        <w:rPr>
          <w:rFonts w:hint="eastAsia" w:ascii="仿宋_GB2312" w:eastAsia="仿宋_GB2312"/>
          <w:color w:val="000000"/>
          <w:sz w:val="32"/>
          <w:szCs w:val="32"/>
          <w:highlight w:val="none"/>
        </w:rPr>
        <w:t>个百分点。为进一步支持县域小微企业、个体工商户发展，</w:t>
      </w:r>
      <w:r>
        <w:rPr>
          <w:rFonts w:hint="eastAsia" w:ascii="仿宋_GB2312" w:eastAsia="仿宋_GB2312"/>
          <w:color w:val="000000"/>
          <w:sz w:val="32"/>
          <w:szCs w:val="32"/>
          <w:highlight w:val="none"/>
          <w:lang w:val="en-US" w:eastAsia="zh-CN"/>
        </w:rPr>
        <w:t>2024</w:t>
      </w:r>
      <w:r>
        <w:rPr>
          <w:rFonts w:hint="eastAsia" w:ascii="仿宋_GB2312" w:eastAsia="仿宋_GB2312"/>
          <w:color w:val="000000"/>
          <w:sz w:val="32"/>
          <w:szCs w:val="32"/>
          <w:highlight w:val="none"/>
        </w:rPr>
        <w:t>年设立了第二期、第三期两期“助企增效”专项贷款，至</w:t>
      </w:r>
      <w:r>
        <w:rPr>
          <w:rFonts w:hint="eastAsia" w:ascii="仿宋_GB2312" w:eastAsia="仿宋_GB2312"/>
          <w:color w:val="000000"/>
          <w:sz w:val="32"/>
          <w:szCs w:val="32"/>
          <w:highlight w:val="none"/>
          <w:lang w:eastAsia="zh-CN"/>
        </w:rPr>
        <w:t>年</w:t>
      </w:r>
      <w:r>
        <w:rPr>
          <w:rFonts w:hint="eastAsia" w:ascii="仿宋_GB2312" w:eastAsia="仿宋_GB2312"/>
          <w:color w:val="000000"/>
          <w:sz w:val="32"/>
          <w:szCs w:val="32"/>
          <w:highlight w:val="none"/>
        </w:rPr>
        <w:t>末发放</w:t>
      </w:r>
      <w:r>
        <w:rPr>
          <w:rFonts w:hint="eastAsia" w:ascii="仿宋_GB2312" w:eastAsia="仿宋_GB2312"/>
          <w:color w:val="000000"/>
          <w:sz w:val="32"/>
          <w:szCs w:val="32"/>
          <w:highlight w:val="none"/>
          <w:lang w:val="en-US" w:eastAsia="zh-CN"/>
        </w:rPr>
        <w:t>515</w:t>
      </w:r>
      <w:r>
        <w:rPr>
          <w:rFonts w:hint="eastAsia" w:ascii="仿宋_GB2312" w:eastAsia="仿宋_GB2312"/>
          <w:color w:val="000000"/>
          <w:sz w:val="32"/>
          <w:szCs w:val="32"/>
          <w:highlight w:val="none"/>
        </w:rPr>
        <w:t>户，金额2.8</w:t>
      </w:r>
      <w:r>
        <w:rPr>
          <w:rFonts w:hint="eastAsia" w:ascii="仿宋_GB2312" w:eastAsia="仿宋_GB2312"/>
          <w:color w:val="000000"/>
          <w:sz w:val="32"/>
          <w:szCs w:val="32"/>
          <w:highlight w:val="none"/>
          <w:lang w:val="en-US" w:eastAsia="zh-CN"/>
        </w:rPr>
        <w:t>7</w:t>
      </w:r>
      <w:r>
        <w:rPr>
          <w:rFonts w:hint="eastAsia" w:ascii="仿宋_GB2312" w:eastAsia="仿宋_GB2312"/>
          <w:color w:val="000000"/>
          <w:sz w:val="32"/>
          <w:szCs w:val="32"/>
          <w:highlight w:val="none"/>
        </w:rPr>
        <w:t>亿元。</w:t>
      </w:r>
    </w:p>
    <w:p>
      <w:pPr>
        <w:spacing w:line="520" w:lineRule="exact"/>
        <w:ind w:firstLine="642" w:firstLineChars="200"/>
        <w:rPr>
          <w:sz w:val="32"/>
          <w:szCs w:val="32"/>
          <w:highlight w:val="none"/>
        </w:rPr>
      </w:pPr>
      <w:r>
        <w:rPr>
          <w:rFonts w:hint="eastAsia" w:ascii="楷体_GB2312" w:hAnsi="楷体" w:eastAsia="楷体_GB2312" w:cs="楷体"/>
          <w:b/>
          <w:bCs/>
          <w:sz w:val="32"/>
          <w:szCs w:val="32"/>
          <w:highlight w:val="none"/>
        </w:rPr>
        <w:t>（</w:t>
      </w:r>
      <w:r>
        <w:rPr>
          <w:rFonts w:hint="eastAsia" w:ascii="楷体_GB2312" w:hAnsi="楷体" w:eastAsia="楷体_GB2312" w:cs="楷体"/>
          <w:b/>
          <w:bCs/>
          <w:sz w:val="32"/>
          <w:szCs w:val="32"/>
          <w:highlight w:val="none"/>
          <w:lang w:val="en-US" w:eastAsia="zh-CN"/>
        </w:rPr>
        <w:t>二</w:t>
      </w:r>
      <w:r>
        <w:rPr>
          <w:rFonts w:hint="eastAsia" w:ascii="楷体_GB2312" w:hAnsi="楷体" w:eastAsia="楷体_GB2312" w:cs="楷体"/>
          <w:b/>
          <w:bCs/>
          <w:sz w:val="32"/>
          <w:szCs w:val="32"/>
          <w:highlight w:val="none"/>
        </w:rPr>
        <w:t>）加强</w:t>
      </w:r>
      <w:r>
        <w:rPr>
          <w:rFonts w:hint="eastAsia" w:ascii="楷体_GB2312" w:hAnsi="楷体" w:eastAsia="楷体_GB2312" w:cs="楷体"/>
          <w:b/>
          <w:bCs/>
          <w:sz w:val="32"/>
          <w:szCs w:val="32"/>
          <w:highlight w:val="none"/>
          <w:lang w:eastAsia="zh-CN"/>
        </w:rPr>
        <w:t>惠企优惠</w:t>
      </w:r>
      <w:r>
        <w:rPr>
          <w:rFonts w:hint="eastAsia" w:ascii="楷体_GB2312" w:hAnsi="楷体" w:eastAsia="楷体_GB2312" w:cs="楷体"/>
          <w:b/>
          <w:bCs/>
          <w:sz w:val="32"/>
          <w:szCs w:val="32"/>
          <w:highlight w:val="none"/>
        </w:rPr>
        <w:t>政策工具运用。</w:t>
      </w:r>
      <w:r>
        <w:rPr>
          <w:rFonts w:hint="eastAsia" w:ascii="仿宋_GB2312" w:eastAsia="仿宋_GB2312"/>
          <w:color w:val="000000"/>
          <w:sz w:val="32"/>
          <w:szCs w:val="32"/>
          <w:highlight w:val="none"/>
        </w:rPr>
        <w:t>积极推广政策性贷款，发放第一期民营提质争效贷款79户3712万元，</w:t>
      </w:r>
      <w:r>
        <w:rPr>
          <w:rFonts w:hint="eastAsia" w:ascii="仿宋_GB2312" w:eastAsia="仿宋_GB2312"/>
          <w:color w:val="000000"/>
          <w:sz w:val="32"/>
          <w:szCs w:val="32"/>
          <w:highlight w:val="none"/>
          <w:lang w:eastAsia="zh-CN"/>
        </w:rPr>
        <w:t>发放</w:t>
      </w:r>
      <w:r>
        <w:rPr>
          <w:rFonts w:hint="eastAsia" w:ascii="仿宋_GB2312" w:eastAsia="仿宋_GB2312"/>
          <w:color w:val="000000"/>
          <w:sz w:val="32"/>
          <w:szCs w:val="32"/>
          <w:highlight w:val="none"/>
        </w:rPr>
        <w:t>第二期民营提质争效贷款</w:t>
      </w:r>
      <w:r>
        <w:rPr>
          <w:rFonts w:hint="eastAsia" w:ascii="仿宋_GB2312" w:eastAsia="仿宋_GB2312"/>
          <w:color w:val="000000"/>
          <w:sz w:val="32"/>
          <w:szCs w:val="32"/>
          <w:highlight w:val="none"/>
          <w:lang w:val="en-US" w:eastAsia="zh-CN"/>
        </w:rPr>
        <w:t>67</w:t>
      </w:r>
      <w:r>
        <w:rPr>
          <w:rFonts w:hint="eastAsia" w:ascii="仿宋_GB2312" w:eastAsia="仿宋_GB2312"/>
          <w:color w:val="000000"/>
          <w:sz w:val="32"/>
          <w:szCs w:val="32"/>
          <w:highlight w:val="none"/>
        </w:rPr>
        <w:t>户</w:t>
      </w:r>
      <w:r>
        <w:rPr>
          <w:rFonts w:hint="eastAsia" w:ascii="仿宋_GB2312" w:eastAsia="仿宋_GB2312"/>
          <w:color w:val="000000"/>
          <w:sz w:val="32"/>
          <w:szCs w:val="32"/>
          <w:highlight w:val="none"/>
          <w:lang w:val="en-US" w:eastAsia="zh-CN"/>
        </w:rPr>
        <w:t>3881</w:t>
      </w:r>
      <w:r>
        <w:rPr>
          <w:rFonts w:hint="eastAsia" w:ascii="仿宋_GB2312" w:eastAsia="仿宋_GB2312"/>
          <w:color w:val="000000"/>
          <w:sz w:val="32"/>
          <w:szCs w:val="32"/>
          <w:highlight w:val="none"/>
        </w:rPr>
        <w:t>万元。用好人行再贷款政策，1</w:t>
      </w:r>
      <w:r>
        <w:rPr>
          <w:rFonts w:hint="eastAsia" w:ascii="仿宋_GB2312" w:eastAsia="仿宋_GB2312"/>
          <w:color w:val="000000"/>
          <w:sz w:val="32"/>
          <w:szCs w:val="32"/>
          <w:highlight w:val="none"/>
          <w:lang w:val="en-US" w:eastAsia="zh-CN"/>
        </w:rPr>
        <w:t>2</w:t>
      </w:r>
      <w:r>
        <w:rPr>
          <w:rFonts w:hint="eastAsia" w:ascii="仿宋_GB2312" w:eastAsia="仿宋_GB2312"/>
          <w:color w:val="000000"/>
          <w:sz w:val="32"/>
          <w:szCs w:val="32"/>
          <w:highlight w:val="none"/>
        </w:rPr>
        <w:t>月末支农再贷款余额</w:t>
      </w:r>
      <w:r>
        <w:rPr>
          <w:rFonts w:hint="eastAsia" w:ascii="仿宋_GB2312" w:eastAsia="仿宋_GB2312"/>
          <w:color w:val="000000"/>
          <w:sz w:val="32"/>
          <w:szCs w:val="32"/>
          <w:highlight w:val="none"/>
          <w:lang w:val="en-US" w:eastAsia="zh-CN"/>
        </w:rPr>
        <w:t>5.81</w:t>
      </w:r>
      <w:r>
        <w:rPr>
          <w:rFonts w:hint="eastAsia" w:ascii="仿宋_GB2312" w:eastAsia="仿宋_GB2312"/>
          <w:color w:val="000000"/>
          <w:sz w:val="32"/>
          <w:szCs w:val="32"/>
          <w:highlight w:val="none"/>
        </w:rPr>
        <w:t>亿元，支农支小服务力度进一步提升。</w:t>
      </w:r>
    </w:p>
    <w:p>
      <w:pPr>
        <w:spacing w:line="520" w:lineRule="exact"/>
        <w:ind w:firstLine="642" w:firstLineChars="200"/>
        <w:rPr>
          <w:rFonts w:hint="eastAsia" w:ascii="楷体_GB2312" w:hAnsi="楷体" w:eastAsia="楷体_GB2312" w:cs="楷体"/>
          <w:b/>
          <w:bCs/>
          <w:sz w:val="32"/>
          <w:szCs w:val="32"/>
          <w:highlight w:val="none"/>
          <w:lang w:eastAsia="zh-CN"/>
        </w:rPr>
      </w:pPr>
      <w:r>
        <w:rPr>
          <w:rFonts w:hint="eastAsia" w:ascii="楷体_GB2312" w:hAnsi="楷体" w:eastAsia="楷体_GB2312" w:cs="楷体"/>
          <w:b/>
          <w:bCs/>
          <w:sz w:val="32"/>
          <w:szCs w:val="32"/>
          <w:highlight w:val="none"/>
        </w:rPr>
        <w:t>（</w:t>
      </w:r>
      <w:r>
        <w:rPr>
          <w:rFonts w:hint="eastAsia" w:ascii="楷体_GB2312" w:hAnsi="楷体" w:eastAsia="楷体_GB2312" w:cs="楷体"/>
          <w:b/>
          <w:bCs/>
          <w:sz w:val="32"/>
          <w:szCs w:val="32"/>
          <w:highlight w:val="none"/>
          <w:lang w:val="en-US" w:eastAsia="zh-CN"/>
        </w:rPr>
        <w:t>三</w:t>
      </w:r>
      <w:r>
        <w:rPr>
          <w:rFonts w:hint="eastAsia" w:ascii="楷体_GB2312" w:hAnsi="楷体" w:eastAsia="楷体_GB2312" w:cs="楷体"/>
          <w:b/>
          <w:bCs/>
          <w:sz w:val="32"/>
          <w:szCs w:val="32"/>
          <w:highlight w:val="none"/>
        </w:rPr>
        <w:t>）</w:t>
      </w:r>
      <w:r>
        <w:rPr>
          <w:rFonts w:hint="eastAsia" w:ascii="楷体_GB2312" w:hAnsi="楷体" w:eastAsia="楷体_GB2312" w:cs="楷体"/>
          <w:b/>
          <w:bCs/>
          <w:sz w:val="32"/>
          <w:szCs w:val="32"/>
          <w:highlight w:val="none"/>
          <w:lang w:eastAsia="zh-CN"/>
        </w:rPr>
        <w:t>贯彻小微企业融资协调机制。</w:t>
      </w:r>
      <w:r>
        <w:rPr>
          <w:rFonts w:hint="eastAsia" w:ascii="仿宋_GB2312" w:eastAsia="仿宋_GB2312"/>
          <w:color w:val="000000"/>
          <w:sz w:val="32"/>
          <w:szCs w:val="32"/>
          <w:highlight w:val="none"/>
          <w:lang w:eastAsia="zh-CN"/>
        </w:rPr>
        <w:t>积极配合政府开展“千企万户大走访”活动，授信538户，授信金额23570万元，放款538户，金额23330万元。</w:t>
      </w:r>
      <w:r>
        <w:rPr>
          <w:rFonts w:hint="eastAsia" w:ascii="仿宋_GB2312" w:hAnsi="仿宋_GB2312" w:eastAsia="仿宋_GB2312" w:cs="仿宋_GB2312"/>
          <w:sz w:val="32"/>
          <w:szCs w:val="32"/>
          <w:highlight w:val="none"/>
          <w:lang w:val="en-US" w:eastAsia="zh-CN"/>
        </w:rPr>
        <w:t>组织人员主动提供上门服务，进园区、进企业、进村入户，携带办贷资料，运用进件系统、移动办贷系统，实现“一次调查、一次审查、一次审批”，提高融资服务效率。</w:t>
      </w:r>
      <w:r>
        <w:rPr>
          <w:rFonts w:hint="eastAsia" w:ascii="仿宋_GB2312" w:hAnsi="仿宋_GB2312" w:eastAsia="仿宋_GB2312" w:cs="仿宋_GB2312"/>
          <w:color w:val="auto"/>
          <w:sz w:val="32"/>
          <w:szCs w:val="32"/>
          <w:highlight w:val="none"/>
          <w:lang w:val="en-US" w:eastAsia="zh-CN"/>
        </w:rPr>
        <w:t>对符合</w:t>
      </w:r>
      <w:r>
        <w:rPr>
          <w:rFonts w:hint="eastAsia" w:ascii="仿宋_GB2312" w:hAnsi="仿宋_GB2312" w:eastAsia="仿宋_GB2312" w:cs="仿宋_GB2312"/>
          <w:b w:val="0"/>
          <w:bCs w:val="0"/>
          <w:color w:val="auto"/>
          <w:sz w:val="32"/>
          <w:szCs w:val="32"/>
          <w:highlight w:val="none"/>
          <w:lang w:val="en-US" w:eastAsia="zh-CN"/>
        </w:rPr>
        <w:t>合规持续经营、固定经营场所、真实融资需求、信用状况良好、贷款用途依法依规</w:t>
      </w:r>
      <w:r>
        <w:rPr>
          <w:rFonts w:hint="eastAsia" w:ascii="仿宋_GB2312" w:hAnsi="仿宋_GB2312" w:eastAsia="仿宋_GB2312" w:cs="仿宋_GB2312"/>
          <w:color w:val="auto"/>
          <w:sz w:val="32"/>
          <w:szCs w:val="32"/>
          <w:highlight w:val="none"/>
          <w:lang w:val="en-US" w:eastAsia="zh-CN"/>
        </w:rPr>
        <w:t>等5项标准的企业及时签约放贷，做到能贷尽贷、应续尽续，有效满足小微企业的融资需求，促进信贷资金直达</w:t>
      </w:r>
      <w:r>
        <w:rPr>
          <w:rFonts w:hint="eastAsia" w:ascii="仿宋_GB2312" w:hAnsi="仿宋_GB2312" w:eastAsia="仿宋_GB2312" w:cs="仿宋_GB2312"/>
          <w:b w:val="0"/>
          <w:bCs w:val="0"/>
          <w:color w:val="auto"/>
          <w:sz w:val="32"/>
          <w:szCs w:val="32"/>
          <w:highlight w:val="none"/>
          <w:lang w:val="en-US" w:eastAsia="zh-CN"/>
        </w:rPr>
        <w:t>小微企业客户。</w:t>
      </w:r>
    </w:p>
    <w:p>
      <w:pPr>
        <w:spacing w:line="520" w:lineRule="exact"/>
        <w:ind w:firstLine="642" w:firstLineChars="200"/>
        <w:rPr>
          <w:rFonts w:hint="eastAsia" w:ascii="仿宋_GB2312" w:hAnsi="仿宋_GB2312" w:eastAsia="仿宋_GB2312" w:cs="仿宋_GB2312"/>
          <w:b w:val="0"/>
          <w:bCs w:val="0"/>
          <w:sz w:val="32"/>
          <w:szCs w:val="32"/>
          <w:highlight w:val="none"/>
        </w:rPr>
      </w:pPr>
      <w:r>
        <w:rPr>
          <w:rFonts w:hint="eastAsia" w:ascii="楷体_GB2312" w:hAnsi="楷体" w:eastAsia="楷体_GB2312" w:cs="楷体"/>
          <w:b/>
          <w:bCs/>
          <w:sz w:val="32"/>
          <w:szCs w:val="32"/>
          <w:highlight w:val="none"/>
          <w:lang w:val="en-US" w:eastAsia="zh-CN"/>
        </w:rPr>
        <w:t>（四）优化服务降低企业融资成本</w:t>
      </w:r>
      <w:r>
        <w:rPr>
          <w:rFonts w:hint="eastAsia" w:ascii="楷体_GB2312" w:hAnsi="楷体" w:eastAsia="楷体_GB2312" w:cs="楷体"/>
          <w:b/>
          <w:bCs/>
          <w:sz w:val="32"/>
          <w:szCs w:val="32"/>
          <w:highlight w:val="none"/>
        </w:rPr>
        <w:t>。</w:t>
      </w:r>
      <w:r>
        <w:rPr>
          <w:rFonts w:hint="eastAsia" w:ascii="仿宋_GB2312" w:hAnsi="仿宋_GB2312" w:eastAsia="仿宋_GB2312" w:cs="仿宋_GB2312"/>
          <w:b/>
          <w:sz w:val="32"/>
          <w:szCs w:val="32"/>
          <w:highlight w:val="none"/>
        </w:rPr>
        <w:t>一是</w:t>
      </w:r>
      <w:r>
        <w:rPr>
          <w:rFonts w:hint="eastAsia" w:ascii="仿宋_GB2312" w:hAnsi="仿宋_GB2312" w:eastAsia="仿宋_GB2312" w:cs="仿宋_GB2312"/>
          <w:sz w:val="32"/>
          <w:szCs w:val="32"/>
          <w:highlight w:val="none"/>
          <w:lang w:eastAsia="zh-CN"/>
        </w:rPr>
        <w:t>持续</w:t>
      </w:r>
      <w:r>
        <w:rPr>
          <w:rFonts w:hint="eastAsia" w:ascii="仿宋_GB2312" w:hAnsi="仿宋_GB2312" w:eastAsia="仿宋_GB2312" w:cs="仿宋_GB2312"/>
          <w:sz w:val="32"/>
          <w:szCs w:val="32"/>
          <w:highlight w:val="none"/>
        </w:rPr>
        <w:t>做好小微企业</w:t>
      </w:r>
      <w:r>
        <w:rPr>
          <w:rFonts w:hint="eastAsia" w:ascii="仿宋_GB2312" w:hAnsi="仿宋_GB2312" w:eastAsia="仿宋_GB2312" w:cs="仿宋_GB2312"/>
          <w:sz w:val="32"/>
          <w:szCs w:val="32"/>
          <w:highlight w:val="none"/>
          <w:lang w:eastAsia="zh-CN"/>
        </w:rPr>
        <w:t>无还本续贷</w:t>
      </w:r>
      <w:r>
        <w:rPr>
          <w:rFonts w:hint="eastAsia" w:ascii="仿宋_GB2312" w:hAnsi="仿宋_GB2312" w:eastAsia="仿宋_GB2312" w:cs="仿宋_GB2312"/>
          <w:sz w:val="32"/>
          <w:szCs w:val="32"/>
          <w:highlight w:val="none"/>
        </w:rPr>
        <w:t>，解决小微企业经营收入回款期与贷款偿还期不匹配、“续贷难”的问题。</w:t>
      </w:r>
      <w:r>
        <w:rPr>
          <w:rFonts w:hint="eastAsia" w:ascii="仿宋_GB2312" w:hAnsi="仿宋_GB2312" w:eastAsia="仿宋_GB2312" w:cs="仿宋_GB2312"/>
          <w:b/>
          <w:sz w:val="32"/>
          <w:szCs w:val="32"/>
          <w:highlight w:val="none"/>
        </w:rPr>
        <w:t>二是</w:t>
      </w:r>
      <w:r>
        <w:rPr>
          <w:rFonts w:hint="eastAsia" w:ascii="仿宋_GB2312" w:hAnsi="仿宋_GB2312" w:eastAsia="仿宋_GB2312" w:cs="仿宋_GB2312"/>
          <w:sz w:val="32"/>
          <w:szCs w:val="32"/>
          <w:highlight w:val="none"/>
        </w:rPr>
        <w:t>优化小微企业贷款期限管理，鼓励小微企业办理中长期贷款，提高中长期贷款占比，灵活根据小微企业生产经营情况、经营周期、资金流动性的分析测算，减轻小微企业贷款负担，解决个体工商户、小微企业“周转难”的情况。</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黑体" w:hAnsi="仿宋" w:eastAsia="黑体"/>
          <w:bCs/>
          <w:color w:val="000000" w:themeColor="text1"/>
          <w:sz w:val="32"/>
          <w:szCs w:val="32"/>
          <w:highlight w:val="none"/>
        </w:rPr>
      </w:pPr>
      <w:r>
        <w:rPr>
          <w:rFonts w:hint="eastAsia" w:ascii="楷体_GB2312" w:hAnsi="楷体" w:eastAsia="楷体_GB2312" w:cs="楷体"/>
          <w:b/>
          <w:bCs/>
          <w:sz w:val="32"/>
          <w:szCs w:val="32"/>
          <w:highlight w:val="none"/>
          <w:lang w:val="en-US" w:eastAsia="zh-CN"/>
        </w:rPr>
        <w:t>（五）服务重点产业助力乡村振兴。</w:t>
      </w:r>
      <w:r>
        <w:rPr>
          <w:rFonts w:hint="eastAsia" w:ascii="仿宋_GB2312" w:eastAsia="仿宋_GB2312"/>
          <w:color w:val="000000"/>
          <w:sz w:val="32"/>
          <w:szCs w:val="32"/>
          <w:highlight w:val="none"/>
        </w:rPr>
        <w:t>持续增强对乡村振兴重点领域的金融服务力度，增加涉农贷款投放，至1</w:t>
      </w:r>
      <w:r>
        <w:rPr>
          <w:rFonts w:hint="eastAsia" w:ascii="仿宋_GB2312" w:eastAsia="仿宋_GB2312"/>
          <w:color w:val="000000"/>
          <w:sz w:val="32"/>
          <w:szCs w:val="32"/>
          <w:highlight w:val="none"/>
          <w:lang w:val="en-US" w:eastAsia="zh-CN"/>
        </w:rPr>
        <w:t>2</w:t>
      </w:r>
      <w:r>
        <w:rPr>
          <w:rFonts w:hint="eastAsia" w:ascii="仿宋_GB2312" w:eastAsia="仿宋_GB2312"/>
          <w:color w:val="000000"/>
          <w:sz w:val="32"/>
          <w:szCs w:val="32"/>
          <w:highlight w:val="none"/>
        </w:rPr>
        <w:t>月末，涉农贷款余额44.</w:t>
      </w:r>
      <w:r>
        <w:rPr>
          <w:rFonts w:hint="eastAsia" w:ascii="仿宋_GB2312" w:eastAsia="仿宋_GB2312"/>
          <w:color w:val="000000"/>
          <w:sz w:val="32"/>
          <w:szCs w:val="32"/>
          <w:highlight w:val="none"/>
          <w:lang w:val="en-US" w:eastAsia="zh-CN"/>
        </w:rPr>
        <w:t>65</w:t>
      </w:r>
      <w:r>
        <w:rPr>
          <w:rFonts w:hint="eastAsia" w:ascii="仿宋_GB2312" w:eastAsia="仿宋_GB2312"/>
          <w:color w:val="000000"/>
          <w:sz w:val="32"/>
          <w:szCs w:val="32"/>
          <w:highlight w:val="none"/>
        </w:rPr>
        <w:t>亿元，占各项贷款比重89.</w:t>
      </w:r>
      <w:r>
        <w:rPr>
          <w:rFonts w:hint="eastAsia" w:ascii="仿宋_GB2312" w:eastAsia="仿宋_GB2312"/>
          <w:color w:val="000000"/>
          <w:sz w:val="32"/>
          <w:szCs w:val="32"/>
          <w:highlight w:val="none"/>
          <w:lang w:val="en-US" w:eastAsia="zh-CN"/>
        </w:rPr>
        <w:t>45</w:t>
      </w:r>
      <w:r>
        <w:rPr>
          <w:rFonts w:hint="eastAsia" w:ascii="仿宋_GB2312" w:eastAsia="仿宋_GB2312"/>
          <w:color w:val="000000"/>
          <w:sz w:val="32"/>
          <w:szCs w:val="32"/>
          <w:highlight w:val="none"/>
        </w:rPr>
        <w:t>%，比年初增加1.</w:t>
      </w:r>
      <w:r>
        <w:rPr>
          <w:rFonts w:hint="eastAsia" w:ascii="仿宋_GB2312" w:eastAsia="仿宋_GB2312"/>
          <w:color w:val="000000"/>
          <w:sz w:val="32"/>
          <w:szCs w:val="32"/>
          <w:highlight w:val="none"/>
          <w:lang w:val="en-US" w:eastAsia="zh-CN"/>
        </w:rPr>
        <w:t>57</w:t>
      </w:r>
      <w:r>
        <w:rPr>
          <w:rFonts w:hint="eastAsia" w:ascii="仿宋_GB2312" w:eastAsia="仿宋_GB2312"/>
          <w:color w:val="000000"/>
          <w:sz w:val="32"/>
          <w:szCs w:val="32"/>
          <w:highlight w:val="none"/>
        </w:rPr>
        <w:t>亿元，</w:t>
      </w:r>
      <w:r>
        <w:rPr>
          <w:rFonts w:hint="eastAsia" w:ascii="仿宋_GB2312" w:eastAsia="仿宋_GB2312"/>
          <w:color w:val="000000"/>
          <w:sz w:val="32"/>
          <w:szCs w:val="32"/>
          <w:highlight w:val="none"/>
          <w:lang w:eastAsia="zh-CN"/>
        </w:rPr>
        <w:t>持续</w:t>
      </w:r>
      <w:r>
        <w:rPr>
          <w:rFonts w:hint="eastAsia" w:ascii="仿宋_GB2312" w:eastAsia="仿宋_GB2312"/>
          <w:color w:val="000000"/>
          <w:sz w:val="32"/>
          <w:szCs w:val="32"/>
          <w:highlight w:val="none"/>
        </w:rPr>
        <w:t>保持增长。积极支持特色农业产业发展，重点关注连城县地瓜干、兰花、白鸭、烤烟等“土特产”产业链，至2024年末，累计发放地瓜干上下游产业链贷款5.68亿元；发放白鸭产业贷款5634万元，铁皮石斛产业贷款1940万元，烟叶生产贷款4790万元。新农主体贷款余额3.5亿元，粮食产业主体贷款余额4500余万元；农村创新创业带头人贷款余额5319万元，高素质农民贷款余额9000余万元。</w:t>
      </w:r>
    </w:p>
    <w:p>
      <w:pPr>
        <w:spacing w:line="520" w:lineRule="exact"/>
        <w:ind w:firstLine="640" w:firstLineChars="200"/>
        <w:jc w:val="center"/>
        <w:rPr>
          <w:rFonts w:ascii="黑体" w:hAnsi="仿宋" w:eastAsia="黑体"/>
          <w:bCs/>
          <w:color w:val="000000" w:themeColor="text1"/>
          <w:sz w:val="32"/>
          <w:szCs w:val="32"/>
          <w:highlight w:val="none"/>
        </w:rPr>
      </w:pPr>
    </w:p>
    <w:p>
      <w:pPr>
        <w:numPr>
          <w:ilvl w:val="0"/>
          <w:numId w:val="14"/>
        </w:numPr>
        <w:spacing w:line="520" w:lineRule="exact"/>
        <w:ind w:firstLine="640" w:firstLineChars="200"/>
        <w:jc w:val="center"/>
        <w:rPr>
          <w:rFonts w:ascii="黑体" w:hAnsi="仿宋" w:eastAsia="黑体"/>
          <w:bCs/>
          <w:color w:val="000000" w:themeColor="text1"/>
          <w:sz w:val="32"/>
          <w:szCs w:val="32"/>
          <w:highlight w:val="none"/>
        </w:rPr>
      </w:pPr>
      <w:r>
        <w:rPr>
          <w:rFonts w:hint="eastAsia" w:ascii="黑体" w:hAnsi="仿宋" w:eastAsia="黑体"/>
          <w:bCs/>
          <w:color w:val="000000" w:themeColor="text1"/>
          <w:sz w:val="32"/>
          <w:szCs w:val="32"/>
          <w:highlight w:val="none"/>
        </w:rPr>
        <w:t xml:space="preserve">  股份变动及股东情况</w:t>
      </w:r>
    </w:p>
    <w:p>
      <w:pPr>
        <w:pStyle w:val="2"/>
        <w:rPr>
          <w:highlight w:val="none"/>
        </w:rPr>
      </w:pPr>
    </w:p>
    <w:p>
      <w:pPr>
        <w:spacing w:line="520" w:lineRule="exact"/>
        <w:ind w:firstLine="600"/>
        <w:rPr>
          <w:rFonts w:ascii="黑体" w:hAnsi="黑体" w:eastAsia="黑体"/>
          <w:color w:val="000000" w:themeColor="text1"/>
          <w:sz w:val="32"/>
          <w:szCs w:val="32"/>
          <w:highlight w:val="none"/>
        </w:rPr>
      </w:pPr>
      <w:r>
        <w:rPr>
          <w:rFonts w:hint="eastAsia" w:ascii="黑体" w:hAnsi="黑体" w:eastAsia="黑体"/>
          <w:color w:val="000000" w:themeColor="text1"/>
          <w:sz w:val="32"/>
          <w:szCs w:val="32"/>
          <w:highlight w:val="none"/>
        </w:rPr>
        <w:t xml:space="preserve">一、本报告期股份变动情况表 </w:t>
      </w:r>
    </w:p>
    <w:tbl>
      <w:tblPr>
        <w:tblStyle w:val="46"/>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191"/>
        <w:gridCol w:w="1296"/>
        <w:gridCol w:w="1191"/>
        <w:gridCol w:w="1253"/>
        <w:gridCol w:w="1191"/>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30" w:type="dxa"/>
            <w:vMerge w:val="restart"/>
            <w:vAlign w:val="center"/>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股份性质</w:t>
            </w:r>
          </w:p>
        </w:tc>
        <w:tc>
          <w:tcPr>
            <w:tcW w:w="2487" w:type="dxa"/>
            <w:gridSpan w:val="2"/>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期初数</w:t>
            </w:r>
          </w:p>
        </w:tc>
        <w:tc>
          <w:tcPr>
            <w:tcW w:w="2444" w:type="dxa"/>
            <w:gridSpan w:val="2"/>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本期增减</w:t>
            </w:r>
          </w:p>
        </w:tc>
        <w:tc>
          <w:tcPr>
            <w:tcW w:w="2488" w:type="dxa"/>
            <w:gridSpan w:val="2"/>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期末数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30" w:type="dxa"/>
            <w:vMerge w:val="continue"/>
          </w:tcPr>
          <w:p>
            <w:pPr>
              <w:spacing w:line="520" w:lineRule="exact"/>
              <w:jc w:val="center"/>
              <w:rPr>
                <w:rFonts w:ascii="仿宋_GB2312" w:hAnsi="仿宋" w:eastAsia="仿宋_GB2312"/>
                <w:b/>
                <w:color w:val="000000" w:themeColor="text1"/>
                <w:sz w:val="24"/>
                <w:szCs w:val="24"/>
                <w:highlight w:val="none"/>
              </w:rPr>
            </w:pPr>
          </w:p>
        </w:tc>
        <w:tc>
          <w:tcPr>
            <w:tcW w:w="1191"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股东（人）</w:t>
            </w:r>
          </w:p>
        </w:tc>
        <w:tc>
          <w:tcPr>
            <w:tcW w:w="1296"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股份（股）</w:t>
            </w:r>
          </w:p>
        </w:tc>
        <w:tc>
          <w:tcPr>
            <w:tcW w:w="1191"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股东（人）</w:t>
            </w:r>
          </w:p>
        </w:tc>
        <w:tc>
          <w:tcPr>
            <w:tcW w:w="1253"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股份（股）</w:t>
            </w:r>
          </w:p>
        </w:tc>
        <w:tc>
          <w:tcPr>
            <w:tcW w:w="1191"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股东（人）</w:t>
            </w:r>
          </w:p>
        </w:tc>
        <w:tc>
          <w:tcPr>
            <w:tcW w:w="1297"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股份（股）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法人股</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18</w:t>
            </w:r>
          </w:p>
        </w:tc>
        <w:tc>
          <w:tcPr>
            <w:tcW w:w="1296"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91617923</w:t>
            </w:r>
          </w:p>
        </w:tc>
        <w:tc>
          <w:tcPr>
            <w:tcW w:w="1191"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lang w:val="en-US" w:eastAsia="zh-CN"/>
              </w:rPr>
              <w:t>0</w:t>
            </w:r>
          </w:p>
        </w:tc>
        <w:tc>
          <w:tcPr>
            <w:tcW w:w="1253"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rPr>
              <w:t>0</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18</w:t>
            </w:r>
          </w:p>
        </w:tc>
        <w:tc>
          <w:tcPr>
            <w:tcW w:w="1297"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91617923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非职工自然人股</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754</w:t>
            </w:r>
          </w:p>
        </w:tc>
        <w:tc>
          <w:tcPr>
            <w:tcW w:w="1296"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174472035</w:t>
            </w:r>
          </w:p>
        </w:tc>
        <w:tc>
          <w:tcPr>
            <w:tcW w:w="1191"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rPr>
              <w:t>0</w:t>
            </w:r>
          </w:p>
        </w:tc>
        <w:tc>
          <w:tcPr>
            <w:tcW w:w="1253"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rPr>
              <w:t>0</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754</w:t>
            </w:r>
          </w:p>
        </w:tc>
        <w:tc>
          <w:tcPr>
            <w:tcW w:w="1297"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174472035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职工股</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200</w:t>
            </w:r>
          </w:p>
        </w:tc>
        <w:tc>
          <w:tcPr>
            <w:tcW w:w="1296"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38845334</w:t>
            </w:r>
          </w:p>
        </w:tc>
        <w:tc>
          <w:tcPr>
            <w:tcW w:w="1191"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rPr>
              <w:t>0</w:t>
            </w:r>
          </w:p>
        </w:tc>
        <w:tc>
          <w:tcPr>
            <w:tcW w:w="1253"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rPr>
              <w:t>0</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200</w:t>
            </w:r>
          </w:p>
        </w:tc>
        <w:tc>
          <w:tcPr>
            <w:tcW w:w="1297"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38845334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tcPr>
          <w:p>
            <w:pPr>
              <w:spacing w:line="520" w:lineRule="exact"/>
              <w:jc w:val="center"/>
              <w:rPr>
                <w:rFonts w:ascii="仿宋_GB2312" w:hAnsi="仿宋" w:eastAsia="仿宋_GB2312"/>
                <w:b/>
                <w:color w:val="000000" w:themeColor="text1"/>
                <w:sz w:val="24"/>
                <w:szCs w:val="24"/>
                <w:highlight w:val="none"/>
              </w:rPr>
            </w:pPr>
            <w:r>
              <w:rPr>
                <w:rFonts w:hint="eastAsia" w:ascii="仿宋_GB2312" w:hAnsi="仿宋" w:eastAsia="仿宋_GB2312"/>
                <w:b/>
                <w:color w:val="000000" w:themeColor="text1"/>
                <w:sz w:val="24"/>
                <w:szCs w:val="24"/>
                <w:highlight w:val="none"/>
              </w:rPr>
              <w:t>小  计</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972</w:t>
            </w:r>
          </w:p>
        </w:tc>
        <w:tc>
          <w:tcPr>
            <w:tcW w:w="1296"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304935292</w:t>
            </w:r>
          </w:p>
        </w:tc>
        <w:tc>
          <w:tcPr>
            <w:tcW w:w="1191"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lang w:val="en-US" w:eastAsia="zh-CN"/>
              </w:rPr>
              <w:t>0</w:t>
            </w:r>
          </w:p>
        </w:tc>
        <w:tc>
          <w:tcPr>
            <w:tcW w:w="1253" w:type="dxa"/>
            <w:vAlign w:val="center"/>
          </w:tcPr>
          <w:p>
            <w:pPr>
              <w:spacing w:line="520" w:lineRule="exact"/>
              <w:jc w:val="center"/>
              <w:rPr>
                <w:rFonts w:ascii="仿宋_GB2312" w:eastAsia="仿宋_GB2312"/>
                <w:color w:val="000000" w:themeColor="text1"/>
                <w:sz w:val="24"/>
                <w:szCs w:val="24"/>
                <w:highlight w:val="none"/>
              </w:rPr>
            </w:pPr>
            <w:r>
              <w:rPr>
                <w:rFonts w:hint="eastAsia" w:ascii="仿宋_GB2312" w:eastAsia="仿宋_GB2312"/>
                <w:color w:val="000000" w:themeColor="text1"/>
                <w:sz w:val="24"/>
                <w:szCs w:val="24"/>
                <w:highlight w:val="none"/>
              </w:rPr>
              <w:t>0</w:t>
            </w:r>
          </w:p>
        </w:tc>
        <w:tc>
          <w:tcPr>
            <w:tcW w:w="1191"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972</w:t>
            </w:r>
          </w:p>
        </w:tc>
        <w:tc>
          <w:tcPr>
            <w:tcW w:w="1297" w:type="dxa"/>
            <w:vAlign w:val="center"/>
          </w:tcPr>
          <w:p>
            <w:pPr>
              <w:spacing w:line="520" w:lineRule="exact"/>
              <w:jc w:val="center"/>
              <w:rPr>
                <w:rFonts w:ascii="仿宋_GB2312" w:hAnsi="宋体" w:eastAsia="仿宋_GB2312" w:cs="宋体"/>
                <w:color w:val="000000" w:themeColor="text1"/>
                <w:sz w:val="24"/>
                <w:szCs w:val="24"/>
                <w:highlight w:val="none"/>
              </w:rPr>
            </w:pPr>
            <w:r>
              <w:rPr>
                <w:rFonts w:hint="eastAsia" w:ascii="仿宋_GB2312" w:hAnsi="宋体" w:eastAsia="仿宋_GB2312" w:cs="宋体"/>
                <w:color w:val="000000" w:themeColor="text1"/>
                <w:sz w:val="24"/>
                <w:szCs w:val="24"/>
                <w:highlight w:val="none"/>
              </w:rPr>
              <w:t>304935292</w:t>
            </w:r>
          </w:p>
        </w:tc>
      </w:tr>
    </w:tbl>
    <w:p>
      <w:pPr>
        <w:spacing w:line="520" w:lineRule="exact"/>
        <w:ind w:firstLine="600"/>
        <w:rPr>
          <w:rFonts w:ascii="黑体" w:hAnsi="黑体" w:eastAsia="黑体"/>
          <w:color w:val="000000" w:themeColor="text1"/>
          <w:sz w:val="32"/>
          <w:szCs w:val="32"/>
          <w:highlight w:val="none"/>
        </w:rPr>
      </w:pPr>
      <w:r>
        <w:rPr>
          <w:rFonts w:hint="eastAsia" w:ascii="黑体" w:hAnsi="黑体" w:eastAsia="黑体"/>
          <w:color w:val="000000" w:themeColor="text1"/>
          <w:sz w:val="32"/>
          <w:szCs w:val="32"/>
          <w:highlight w:val="none"/>
        </w:rPr>
        <w:t xml:space="preserve">二、主要社员情况  </w:t>
      </w:r>
    </w:p>
    <w:p>
      <w:pPr>
        <w:spacing w:line="520" w:lineRule="exact"/>
        <w:ind w:firstLine="600"/>
        <w:rPr>
          <w:rFonts w:ascii="楷体_GB2312" w:hAnsi="楷体" w:eastAsia="楷体_GB2312"/>
          <w:b/>
          <w:color w:val="000000" w:themeColor="text1"/>
          <w:sz w:val="32"/>
          <w:szCs w:val="32"/>
          <w:highlight w:val="none"/>
        </w:rPr>
      </w:pPr>
      <w:r>
        <w:rPr>
          <w:rFonts w:hint="eastAsia" w:ascii="楷体_GB2312" w:hAnsi="楷体" w:eastAsia="楷体_GB2312"/>
          <w:b/>
          <w:color w:val="000000" w:themeColor="text1"/>
          <w:sz w:val="32"/>
          <w:szCs w:val="32"/>
          <w:highlight w:val="none"/>
        </w:rPr>
        <w:t>（一）报告期末行社前十名法人股东持股情况</w:t>
      </w:r>
    </w:p>
    <w:tbl>
      <w:tblPr>
        <w:tblStyle w:val="4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4320"/>
        <w:gridCol w:w="19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28" w:type="dxa"/>
            <w:vAlign w:val="center"/>
          </w:tcPr>
          <w:p>
            <w:pPr>
              <w:spacing w:line="520" w:lineRule="exact"/>
              <w:jc w:val="center"/>
              <w:rPr>
                <w:rFonts w:ascii="仿宋_GB2312" w:hAnsi="仿宋" w:eastAsia="仿宋_GB2312"/>
                <w:b/>
                <w:bCs/>
                <w:sz w:val="24"/>
                <w:highlight w:val="none"/>
              </w:rPr>
            </w:pPr>
            <w:r>
              <w:rPr>
                <w:rFonts w:hint="eastAsia" w:ascii="仿宋_GB2312" w:hAnsi="仿宋" w:eastAsia="仿宋_GB2312"/>
                <w:b/>
                <w:bCs/>
                <w:sz w:val="24"/>
                <w:highlight w:val="none"/>
              </w:rPr>
              <w:t>序号</w:t>
            </w:r>
          </w:p>
        </w:tc>
        <w:tc>
          <w:tcPr>
            <w:tcW w:w="4320" w:type="dxa"/>
            <w:vAlign w:val="center"/>
          </w:tcPr>
          <w:p>
            <w:pPr>
              <w:spacing w:line="520" w:lineRule="exact"/>
              <w:jc w:val="center"/>
              <w:rPr>
                <w:rFonts w:ascii="仿宋_GB2312" w:hAnsi="仿宋" w:eastAsia="仿宋_GB2312"/>
                <w:b/>
                <w:bCs/>
                <w:sz w:val="24"/>
                <w:highlight w:val="none"/>
              </w:rPr>
            </w:pPr>
            <w:r>
              <w:rPr>
                <w:rFonts w:hint="eastAsia" w:ascii="仿宋_GB2312" w:hAnsi="仿宋" w:eastAsia="仿宋_GB2312"/>
                <w:b/>
                <w:bCs/>
                <w:sz w:val="24"/>
                <w:highlight w:val="none"/>
              </w:rPr>
              <w:t>股东名称</w:t>
            </w:r>
          </w:p>
        </w:tc>
        <w:tc>
          <w:tcPr>
            <w:tcW w:w="1980" w:type="dxa"/>
            <w:vAlign w:val="center"/>
          </w:tcPr>
          <w:p>
            <w:pPr>
              <w:spacing w:line="520" w:lineRule="exact"/>
              <w:jc w:val="center"/>
              <w:rPr>
                <w:rFonts w:ascii="仿宋_GB2312" w:hAnsi="仿宋" w:eastAsia="仿宋_GB2312"/>
                <w:b/>
                <w:bCs/>
                <w:sz w:val="24"/>
                <w:highlight w:val="none"/>
              </w:rPr>
            </w:pPr>
            <w:r>
              <w:rPr>
                <w:rFonts w:hint="eastAsia" w:ascii="仿宋_GB2312" w:hAnsi="仿宋" w:eastAsia="仿宋_GB2312"/>
                <w:b/>
                <w:bCs/>
                <w:sz w:val="24"/>
                <w:highlight w:val="none"/>
              </w:rPr>
              <w:t>持股金额（元）</w:t>
            </w:r>
          </w:p>
        </w:tc>
        <w:tc>
          <w:tcPr>
            <w:tcW w:w="1440" w:type="dxa"/>
            <w:vAlign w:val="center"/>
          </w:tcPr>
          <w:p>
            <w:pPr>
              <w:spacing w:line="520" w:lineRule="exact"/>
              <w:jc w:val="center"/>
              <w:rPr>
                <w:rFonts w:ascii="仿宋_GB2312" w:hAnsi="仿宋" w:eastAsia="仿宋_GB2312"/>
                <w:b/>
                <w:bCs/>
                <w:sz w:val="24"/>
                <w:highlight w:val="none"/>
              </w:rPr>
            </w:pPr>
            <w:r>
              <w:rPr>
                <w:rFonts w:hint="eastAsia" w:ascii="仿宋_GB2312" w:hAnsi="仿宋" w:eastAsia="仿宋_GB2312"/>
                <w:b/>
                <w:bCs/>
                <w:sz w:val="24"/>
                <w:highlight w:val="none"/>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连城县东方经济开发有限公司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14377839</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连城县恒盛昌木材有限责任公司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14164091</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连城县连发城市建设有限公司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12608718</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连城福连矿业开发有限公司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7745237</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福建百花化学股份有限公司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7745231</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福建连城国有投资集团有限公司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7013575</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连城冠连矿业开发有限公司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6877556</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lang w:eastAsia="zh-CN"/>
              </w:rPr>
              <w:t>连城县</w:t>
            </w:r>
            <w:r>
              <w:rPr>
                <w:rFonts w:hint="eastAsia" w:ascii="仿宋_GB2312" w:hAnsi="仿宋_GB2312" w:eastAsia="仿宋_GB2312" w:cs="仿宋_GB2312"/>
                <w:kern w:val="0"/>
                <w:sz w:val="24"/>
                <w:szCs w:val="24"/>
                <w:highlight w:val="none"/>
              </w:rPr>
              <w:t>华丛建设工程有限公司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3959133</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9</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连城县振龙化工有限公司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3506780</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10</w:t>
            </w:r>
          </w:p>
        </w:tc>
        <w:tc>
          <w:tcPr>
            <w:tcW w:w="432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福建连城县龙威硅业有限公司</w:t>
            </w:r>
          </w:p>
        </w:tc>
        <w:tc>
          <w:tcPr>
            <w:tcW w:w="198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rPr>
              <w:t>2104062</w:t>
            </w:r>
          </w:p>
        </w:tc>
        <w:tc>
          <w:tcPr>
            <w:tcW w:w="1440" w:type="dxa"/>
            <w:vAlign w:val="center"/>
          </w:tcPr>
          <w:p>
            <w:pPr>
              <w:widowControl/>
              <w:spacing w:line="520" w:lineRule="exact"/>
              <w:jc w:val="center"/>
              <w:textAlignment w:val="center"/>
              <w:rPr>
                <w:rFonts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0.69</w:t>
            </w:r>
          </w:p>
        </w:tc>
      </w:tr>
      <w:bookmarkEnd w:id="4"/>
    </w:tbl>
    <w:p>
      <w:pPr>
        <w:spacing w:line="520" w:lineRule="exact"/>
        <w:ind w:firstLine="642" w:firstLineChars="200"/>
        <w:rPr>
          <w:rFonts w:ascii="仿宋_GB2312" w:hAnsi="仿宋" w:eastAsia="仿宋_GB2312"/>
          <w:sz w:val="32"/>
          <w:szCs w:val="32"/>
          <w:highlight w:val="none"/>
        </w:rPr>
      </w:pPr>
      <w:r>
        <w:rPr>
          <w:rFonts w:hint="eastAsia" w:ascii="楷体_GB2312" w:hAnsi="楷体" w:eastAsia="楷体_GB2312"/>
          <w:b/>
          <w:color w:val="000000" w:themeColor="text1"/>
          <w:sz w:val="32"/>
          <w:szCs w:val="32"/>
          <w:highlight w:val="none"/>
        </w:rPr>
        <w:t>（二）报告期内机构前十名股东关联情况：</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1.连城县东方经济开发有限公司与股东福建百花化学股份有限公司之间因实际控制人存在关联情况；</w:t>
      </w:r>
    </w:p>
    <w:p>
      <w:pPr>
        <w:spacing w:line="520" w:lineRule="exact"/>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2.因福建连城国有投资集团有限公司为连城县连发城市建设有限公司控股股东，故二者之间存在关联情况。</w:t>
      </w:r>
    </w:p>
    <w:p>
      <w:pPr>
        <w:spacing w:line="520" w:lineRule="exact"/>
        <w:ind w:firstLine="642" w:firstLineChars="200"/>
        <w:rPr>
          <w:rFonts w:hint="eastAsia" w:ascii="仿宋_GB2312" w:hAnsi="仿宋" w:eastAsia="仿宋_GB2312"/>
          <w:sz w:val="32"/>
          <w:szCs w:val="32"/>
          <w:highlight w:val="none"/>
          <w:lang w:eastAsia="zh-CN"/>
        </w:rPr>
      </w:pPr>
      <w:r>
        <w:rPr>
          <w:rFonts w:hint="eastAsia" w:ascii="楷体_GB2312" w:hAnsi="楷体" w:eastAsia="楷体_GB2312"/>
          <w:b/>
          <w:color w:val="000000" w:themeColor="text1"/>
          <w:sz w:val="32"/>
          <w:szCs w:val="32"/>
          <w:highlight w:val="none"/>
        </w:rPr>
        <w:t>（三）报告期内机构前十名股东关联交易情况：</w:t>
      </w:r>
      <w:r>
        <w:rPr>
          <w:rFonts w:hint="eastAsia" w:ascii="仿宋_GB2312" w:hAnsi="仿宋" w:eastAsia="仿宋_GB2312"/>
          <w:sz w:val="32"/>
          <w:szCs w:val="32"/>
          <w:highlight w:val="none"/>
        </w:rPr>
        <w:t>报告期内连城县恒盛昌木材有限责任公司贷款8</w:t>
      </w:r>
      <w:r>
        <w:rPr>
          <w:rFonts w:ascii="仿宋_GB2312" w:hAnsi="仿宋" w:eastAsia="仿宋_GB2312"/>
          <w:sz w:val="32"/>
          <w:szCs w:val="32"/>
          <w:highlight w:val="none"/>
        </w:rPr>
        <w:t>1</w:t>
      </w:r>
      <w:r>
        <w:rPr>
          <w:rFonts w:hint="eastAsia" w:ascii="仿宋_GB2312" w:hAnsi="仿宋" w:eastAsia="仿宋_GB2312"/>
          <w:sz w:val="32"/>
          <w:szCs w:val="32"/>
          <w:highlight w:val="none"/>
          <w:lang w:val="en-US" w:eastAsia="zh-CN"/>
        </w:rPr>
        <w:t>7</w:t>
      </w:r>
      <w:r>
        <w:rPr>
          <w:rFonts w:ascii="仿宋_GB2312" w:hAnsi="仿宋" w:eastAsia="仿宋_GB2312"/>
          <w:sz w:val="32"/>
          <w:szCs w:val="32"/>
          <w:highlight w:val="none"/>
        </w:rPr>
        <w:t>.5</w:t>
      </w:r>
      <w:r>
        <w:rPr>
          <w:rFonts w:hint="eastAsia" w:ascii="仿宋_GB2312" w:hAnsi="仿宋" w:eastAsia="仿宋_GB2312"/>
          <w:sz w:val="32"/>
          <w:szCs w:val="32"/>
          <w:highlight w:val="none"/>
        </w:rPr>
        <w:t>万元、连城县连发城市建设有限公司贷款</w:t>
      </w:r>
      <w:r>
        <w:rPr>
          <w:rFonts w:hint="eastAsia" w:ascii="仿宋_GB2312" w:hAnsi="仿宋" w:eastAsia="仿宋_GB2312"/>
          <w:sz w:val="32"/>
          <w:szCs w:val="32"/>
          <w:highlight w:val="none"/>
          <w:lang w:val="en-US" w:eastAsia="zh-CN"/>
        </w:rPr>
        <w:t>6</w:t>
      </w:r>
      <w:r>
        <w:rPr>
          <w:rFonts w:ascii="仿宋_GB2312" w:hAnsi="仿宋" w:eastAsia="仿宋_GB2312"/>
          <w:sz w:val="32"/>
          <w:szCs w:val="32"/>
          <w:highlight w:val="none"/>
        </w:rPr>
        <w:t>30</w:t>
      </w:r>
      <w:r>
        <w:rPr>
          <w:rFonts w:hint="eastAsia" w:ascii="仿宋_GB2312" w:hAnsi="仿宋" w:eastAsia="仿宋_GB2312"/>
          <w:sz w:val="32"/>
          <w:szCs w:val="32"/>
          <w:highlight w:val="none"/>
        </w:rPr>
        <w:t>万元。</w:t>
      </w:r>
    </w:p>
    <w:p>
      <w:pPr>
        <w:spacing w:line="520" w:lineRule="exact"/>
        <w:ind w:firstLine="642" w:firstLineChars="200"/>
        <w:rPr>
          <w:rFonts w:hint="eastAsia" w:ascii="仿宋_GB2312" w:hAnsi="仿宋" w:eastAsia="仿宋_GB2312"/>
          <w:sz w:val="32"/>
          <w:szCs w:val="32"/>
          <w:highlight w:val="none"/>
        </w:rPr>
      </w:pPr>
      <w:r>
        <w:rPr>
          <w:rFonts w:hint="eastAsia" w:ascii="楷体_GB2312" w:hAnsi="楷体" w:eastAsia="楷体_GB2312"/>
          <w:b/>
          <w:color w:val="000000" w:themeColor="text1"/>
          <w:sz w:val="32"/>
          <w:szCs w:val="32"/>
          <w:highlight w:val="none"/>
        </w:rPr>
        <w:t>（四）报告期末机构前十名股东股份</w:t>
      </w:r>
      <w:r>
        <w:rPr>
          <w:rFonts w:hint="eastAsia" w:ascii="楷体_GB2312" w:hAnsi="楷体" w:eastAsia="楷体_GB2312"/>
          <w:b/>
          <w:color w:val="000000" w:themeColor="text1"/>
          <w:sz w:val="32"/>
          <w:szCs w:val="32"/>
          <w:highlight w:val="none"/>
          <w:lang w:eastAsia="zh-CN"/>
        </w:rPr>
        <w:t>冻结情况：</w:t>
      </w:r>
      <w:r>
        <w:rPr>
          <w:rFonts w:hint="eastAsia" w:ascii="仿宋_GB2312" w:hAnsi="仿宋" w:eastAsia="仿宋_GB2312"/>
          <w:sz w:val="32"/>
          <w:szCs w:val="32"/>
          <w:highlight w:val="none"/>
        </w:rPr>
        <w:t>连城县振龙化工有限公司全部股金被法院冻结。</w:t>
      </w:r>
    </w:p>
    <w:p>
      <w:pPr>
        <w:spacing w:line="520" w:lineRule="exact"/>
        <w:ind w:firstLine="642" w:firstLineChars="200"/>
        <w:rPr>
          <w:rFonts w:ascii="仿宋_GB2312" w:hAnsi="仿宋" w:eastAsia="仿宋_GB2312"/>
          <w:sz w:val="32"/>
          <w:szCs w:val="32"/>
          <w:highlight w:val="none"/>
        </w:rPr>
      </w:pPr>
      <w:r>
        <w:rPr>
          <w:rFonts w:hint="eastAsia" w:ascii="楷体_GB2312" w:hAnsi="楷体" w:eastAsia="楷体_GB2312"/>
          <w:b/>
          <w:color w:val="000000" w:themeColor="text1"/>
          <w:sz w:val="32"/>
          <w:szCs w:val="32"/>
          <w:highlight w:val="none"/>
        </w:rPr>
        <w:t>（五）报告期末机构前十名股东中</w:t>
      </w:r>
      <w:r>
        <w:rPr>
          <w:rFonts w:hint="eastAsia" w:ascii="楷体_GB2312" w:hAnsi="楷体" w:eastAsia="楷体_GB2312"/>
          <w:b/>
          <w:color w:val="000000" w:themeColor="text1"/>
          <w:sz w:val="32"/>
          <w:szCs w:val="32"/>
          <w:highlight w:val="none"/>
          <w:lang w:eastAsia="zh-CN"/>
        </w:rPr>
        <w:t>股权质押、反担保情况：</w:t>
      </w:r>
      <w:r>
        <w:rPr>
          <w:rFonts w:hint="eastAsia" w:ascii="仿宋_GB2312" w:hAnsi="仿宋" w:eastAsia="仿宋_GB2312"/>
          <w:sz w:val="32"/>
          <w:szCs w:val="32"/>
          <w:highlight w:val="none"/>
          <w:lang w:eastAsia="zh-CN"/>
        </w:rPr>
        <w:t>连城县连发城市建设有限公司将所持股权向</w:t>
      </w:r>
      <w:r>
        <w:rPr>
          <w:rFonts w:hint="eastAsia" w:ascii="仿宋_GB2312" w:hAnsi="仿宋" w:eastAsia="仿宋_GB2312"/>
          <w:sz w:val="32"/>
          <w:szCs w:val="32"/>
          <w:highlight w:val="none"/>
        </w:rPr>
        <w:t>盛融天下商业保理有限公司</w:t>
      </w:r>
      <w:r>
        <w:rPr>
          <w:rFonts w:hint="eastAsia" w:ascii="仿宋_GB2312" w:hAnsi="仿宋" w:eastAsia="仿宋_GB2312"/>
          <w:sz w:val="32"/>
          <w:szCs w:val="32"/>
          <w:highlight w:val="none"/>
          <w:lang w:eastAsia="zh-CN"/>
        </w:rPr>
        <w:t>进行质押</w:t>
      </w:r>
      <w:r>
        <w:rPr>
          <w:rFonts w:hint="eastAsia" w:ascii="仿宋_GB2312" w:hAnsi="仿宋" w:eastAsia="仿宋_GB2312"/>
          <w:sz w:val="32"/>
          <w:szCs w:val="32"/>
          <w:highlight w:val="none"/>
        </w:rPr>
        <w:t>。</w:t>
      </w:r>
    </w:p>
    <w:p>
      <w:pPr>
        <w:spacing w:line="520" w:lineRule="exact"/>
        <w:ind w:firstLine="642" w:firstLineChars="200"/>
        <w:rPr>
          <w:rFonts w:ascii="楷体_GB2312" w:hAnsi="楷体" w:eastAsia="楷体_GB2312"/>
          <w:b/>
          <w:color w:val="000000" w:themeColor="text1"/>
          <w:sz w:val="32"/>
          <w:szCs w:val="32"/>
          <w:highlight w:val="none"/>
        </w:rPr>
      </w:pPr>
      <w:r>
        <w:rPr>
          <w:rFonts w:hint="eastAsia" w:ascii="楷体_GB2312" w:hAnsi="楷体" w:eastAsia="楷体_GB2312"/>
          <w:b/>
          <w:color w:val="000000" w:themeColor="text1"/>
          <w:sz w:val="32"/>
          <w:szCs w:val="32"/>
          <w:highlight w:val="none"/>
        </w:rPr>
        <w:t>（六）持有机构股份前十名股东的具体情况。</w:t>
      </w:r>
    </w:p>
    <w:p>
      <w:pPr>
        <w:spacing w:line="520" w:lineRule="exact"/>
        <w:ind w:firstLine="642" w:firstLineChars="200"/>
        <w:rPr>
          <w:rFonts w:ascii="仿宋_GB2312" w:hAnsi="仿宋" w:eastAsia="仿宋_GB2312"/>
          <w:sz w:val="32"/>
          <w:szCs w:val="32"/>
          <w:highlight w:val="none"/>
        </w:rPr>
      </w:pPr>
      <w:r>
        <w:rPr>
          <w:rFonts w:hint="eastAsia" w:ascii="仿宋_GB2312" w:hAnsi="仿宋" w:eastAsia="仿宋_GB2312"/>
          <w:b/>
          <w:sz w:val="32"/>
          <w:szCs w:val="32"/>
          <w:highlight w:val="none"/>
        </w:rPr>
        <w:t>1.连城县东方经济开发有限公司：</w:t>
      </w:r>
      <w:r>
        <w:rPr>
          <w:rFonts w:hint="eastAsia" w:ascii="仿宋_GB2312" w:hAnsi="仿宋" w:eastAsia="仿宋_GB2312"/>
          <w:sz w:val="32"/>
          <w:szCs w:val="32"/>
          <w:highlight w:val="none"/>
        </w:rPr>
        <w:t>法定代表人：华天喜，成立于1999年9月3日，注册资本：320万元，公司地址：连城县姑田镇新街，经营范围：机制纸、纸制品制造销售;造纸原料、造纸机械及配件、化工材料（危险化学品除外）销售;经营本企业自产或加工的各类机制纸、纸制品的出口业务;经营本企业生产、科研所需的原辅材料、机械设备、零配件及技术的进口业务。</w:t>
      </w:r>
    </w:p>
    <w:p>
      <w:pPr>
        <w:spacing w:line="520" w:lineRule="exact"/>
        <w:ind w:firstLine="642" w:firstLineChars="200"/>
        <w:rPr>
          <w:rFonts w:ascii="仿宋_GB2312" w:hAnsi="仿宋" w:eastAsia="仿宋_GB2312"/>
          <w:sz w:val="32"/>
          <w:szCs w:val="32"/>
          <w:highlight w:val="none"/>
        </w:rPr>
      </w:pPr>
      <w:r>
        <w:rPr>
          <w:rFonts w:hint="eastAsia" w:ascii="仿宋_GB2312" w:hAnsi="仿宋" w:eastAsia="仿宋_GB2312"/>
          <w:b/>
          <w:sz w:val="32"/>
          <w:szCs w:val="32"/>
          <w:highlight w:val="none"/>
        </w:rPr>
        <w:t>2.连城县恒盛昌木材有限责任公司：</w:t>
      </w:r>
      <w:r>
        <w:rPr>
          <w:rFonts w:hint="eastAsia" w:ascii="仿宋_GB2312" w:hAnsi="仿宋" w:eastAsia="仿宋_GB2312"/>
          <w:sz w:val="32"/>
          <w:szCs w:val="32"/>
          <w:highlight w:val="none"/>
        </w:rPr>
        <w:t>法定代表人：罗均盛，成立于2003年3月5日，注册资本：600万元，公司地址：连城县莲峰镇东环南路72号，经营范围：木材采运、木材销售。</w:t>
      </w:r>
    </w:p>
    <w:p>
      <w:pPr>
        <w:spacing w:line="520" w:lineRule="exact"/>
        <w:ind w:firstLine="642" w:firstLineChars="200"/>
        <w:rPr>
          <w:rFonts w:ascii="仿宋_GB2312" w:hAnsi="仿宋" w:eastAsia="仿宋_GB2312"/>
          <w:sz w:val="32"/>
          <w:szCs w:val="32"/>
          <w:highlight w:val="none"/>
        </w:rPr>
      </w:pPr>
      <w:r>
        <w:rPr>
          <w:rFonts w:ascii="仿宋_GB2312" w:hAnsi="仿宋" w:eastAsia="仿宋_GB2312"/>
          <w:b/>
          <w:sz w:val="32"/>
          <w:szCs w:val="32"/>
          <w:highlight w:val="none"/>
        </w:rPr>
        <w:t>3</w:t>
      </w:r>
      <w:r>
        <w:rPr>
          <w:rFonts w:hint="eastAsia" w:ascii="仿宋_GB2312" w:hAnsi="仿宋" w:eastAsia="仿宋_GB2312"/>
          <w:b/>
          <w:sz w:val="32"/>
          <w:szCs w:val="32"/>
          <w:highlight w:val="none"/>
        </w:rPr>
        <w:t>.连城县连发城市建设有限公司：</w:t>
      </w:r>
      <w:r>
        <w:rPr>
          <w:rFonts w:hint="eastAsia" w:ascii="仿宋_GB2312" w:hAnsi="仿宋" w:eastAsia="仿宋_GB2312"/>
          <w:sz w:val="32"/>
          <w:szCs w:val="32"/>
          <w:highlight w:val="none"/>
        </w:rPr>
        <w:t>法定代表人，李金海，成立于2003年06月11日，注册资本：136145万元，公司地址：福建省龙岩市连城县莲峰镇莲中北路1号莲花花园1号楼二层，经营范围：房地产开发、公共设施以及城镇基础设施建设项目投资；城镇防洪工程及小流域综合开发治理工程投资与管理；水库水源建设投资与管理；城乡及工业园供水投资与管理；农用水利及灌区供水；建筑材料（不含木材及危险化学品)、钢材、机械设备、五金产品、电子产品、矿产品的销售；旅游资源开发与保护。</w:t>
      </w:r>
    </w:p>
    <w:p>
      <w:pPr>
        <w:spacing w:line="520" w:lineRule="exact"/>
        <w:ind w:firstLine="642" w:firstLineChars="200"/>
        <w:rPr>
          <w:rFonts w:ascii="仿宋_GB2312" w:hAnsi="仿宋" w:eastAsia="仿宋_GB2312"/>
          <w:sz w:val="32"/>
          <w:szCs w:val="32"/>
          <w:highlight w:val="none"/>
        </w:rPr>
      </w:pPr>
      <w:r>
        <w:rPr>
          <w:rFonts w:ascii="仿宋_GB2312" w:hAnsi="仿宋" w:eastAsia="仿宋_GB2312"/>
          <w:b/>
          <w:sz w:val="32"/>
          <w:szCs w:val="32"/>
          <w:highlight w:val="none"/>
        </w:rPr>
        <w:t>4</w:t>
      </w:r>
      <w:r>
        <w:rPr>
          <w:rFonts w:hint="eastAsia" w:ascii="仿宋_GB2312" w:hAnsi="仿宋" w:eastAsia="仿宋_GB2312"/>
          <w:b/>
          <w:sz w:val="32"/>
          <w:szCs w:val="32"/>
          <w:highlight w:val="none"/>
        </w:rPr>
        <w:t>.连城福连矿业开发有限公司：</w:t>
      </w:r>
      <w:r>
        <w:rPr>
          <w:rFonts w:hint="eastAsia" w:ascii="仿宋_GB2312" w:hAnsi="仿宋" w:eastAsia="仿宋_GB2312"/>
          <w:sz w:val="32"/>
          <w:szCs w:val="32"/>
          <w:highlight w:val="none"/>
        </w:rPr>
        <w:t>法定代表人：邱贵生，成立于2001年10月26日，注册资本：110万元，公司地址：连城县庙前镇庙上村，经营范围：铅、锌、锰、银、铜及伴生矿选矿、加工、销售。</w:t>
      </w:r>
    </w:p>
    <w:p>
      <w:pPr>
        <w:spacing w:line="520" w:lineRule="exact"/>
        <w:ind w:firstLine="642" w:firstLineChars="200"/>
        <w:rPr>
          <w:rFonts w:ascii="仿宋_GB2312" w:hAnsi="仿宋" w:eastAsia="仿宋_GB2312"/>
          <w:sz w:val="32"/>
          <w:szCs w:val="32"/>
          <w:highlight w:val="none"/>
        </w:rPr>
      </w:pPr>
      <w:r>
        <w:rPr>
          <w:rFonts w:ascii="仿宋_GB2312" w:hAnsi="仿宋" w:eastAsia="仿宋_GB2312"/>
          <w:b/>
          <w:bCs/>
          <w:sz w:val="32"/>
          <w:szCs w:val="32"/>
          <w:highlight w:val="none"/>
        </w:rPr>
        <w:t>5</w:t>
      </w:r>
      <w:r>
        <w:rPr>
          <w:rFonts w:hint="eastAsia" w:ascii="仿宋_GB2312" w:hAnsi="仿宋" w:eastAsia="仿宋_GB2312"/>
          <w:b/>
          <w:bCs/>
          <w:sz w:val="32"/>
          <w:szCs w:val="32"/>
          <w:highlight w:val="none"/>
        </w:rPr>
        <w:t>.</w:t>
      </w:r>
      <w:r>
        <w:rPr>
          <w:rFonts w:hint="eastAsia" w:ascii="仿宋_GB2312" w:hAnsi="仿宋" w:eastAsia="仿宋_GB2312"/>
          <w:b/>
          <w:sz w:val="32"/>
          <w:szCs w:val="32"/>
          <w:highlight w:val="none"/>
        </w:rPr>
        <w:t>福建百花化学股份有限公司：</w:t>
      </w:r>
      <w:r>
        <w:rPr>
          <w:rFonts w:hint="eastAsia" w:ascii="仿宋_GB2312" w:hAnsi="仿宋" w:eastAsia="仿宋_GB2312"/>
          <w:sz w:val="32"/>
          <w:szCs w:val="32"/>
          <w:highlight w:val="none"/>
        </w:rPr>
        <w:t>法定代表人：江旭初，成立于1993年3月15日，注册资本：1659.3774万元，公司地址：福建省连城县朋口工业集中区1-16幢，经营范围：许可项目：涂料制造（不含危险化学品）；涂料销售（不含危险化学品）；纸制品销售；日用品销售；互联网销售（除销售需要许可的商品）等。</w:t>
      </w:r>
    </w:p>
    <w:p>
      <w:pPr>
        <w:spacing w:line="520" w:lineRule="exact"/>
        <w:ind w:firstLine="642" w:firstLineChars="200"/>
        <w:rPr>
          <w:rFonts w:ascii="仿宋_GB2312" w:hAnsi="仿宋" w:eastAsia="仿宋_GB2312"/>
          <w:sz w:val="32"/>
          <w:szCs w:val="32"/>
          <w:highlight w:val="none"/>
        </w:rPr>
      </w:pPr>
      <w:r>
        <w:rPr>
          <w:rFonts w:hint="eastAsia" w:ascii="仿宋_GB2312" w:hAnsi="仿宋" w:eastAsia="仿宋_GB2312"/>
          <w:b/>
          <w:sz w:val="32"/>
          <w:szCs w:val="32"/>
          <w:highlight w:val="none"/>
        </w:rPr>
        <w:t>6.福建连城国有投资集团有限公司：</w:t>
      </w:r>
      <w:r>
        <w:rPr>
          <w:rFonts w:hint="eastAsia" w:ascii="仿宋_GB2312" w:hAnsi="仿宋" w:eastAsia="仿宋_GB2312"/>
          <w:sz w:val="32"/>
          <w:szCs w:val="32"/>
          <w:highlight w:val="none"/>
        </w:rPr>
        <w:t>法定代表人：黄楠，成立于1995年4月17日，注册资本：58604万元，公司地址：福建省龙岩市连城县莲峰镇莲中北路1号莲花花园一号楼2层，经营范围：国有资本投资、经营、管理等。</w:t>
      </w:r>
    </w:p>
    <w:p>
      <w:pPr>
        <w:spacing w:line="520" w:lineRule="exact"/>
        <w:ind w:firstLine="642" w:firstLineChars="200"/>
        <w:rPr>
          <w:rFonts w:ascii="仿宋_GB2312" w:hAnsi="仿宋" w:eastAsia="仿宋_GB2312"/>
          <w:sz w:val="32"/>
          <w:szCs w:val="32"/>
          <w:highlight w:val="none"/>
        </w:rPr>
      </w:pPr>
      <w:r>
        <w:rPr>
          <w:rFonts w:hint="eastAsia" w:ascii="仿宋_GB2312" w:hAnsi="仿宋" w:eastAsia="仿宋_GB2312"/>
          <w:b/>
          <w:sz w:val="32"/>
          <w:szCs w:val="32"/>
          <w:highlight w:val="none"/>
        </w:rPr>
        <w:t>7.连城冠连矿业开发有限公司：</w:t>
      </w:r>
      <w:r>
        <w:rPr>
          <w:rFonts w:hint="eastAsia" w:ascii="仿宋_GB2312" w:hAnsi="仿宋" w:eastAsia="仿宋_GB2312"/>
          <w:sz w:val="32"/>
          <w:szCs w:val="32"/>
          <w:highlight w:val="none"/>
        </w:rPr>
        <w:t>法定代表人：俞智武，成立于2006年11月28日，注册资本：600万元，公司地址：连城县庙前镇庙兴路1号，经营范围：铅矿、锌矿的地下开采、销售铅、锌、锰、银、铜及其伴生矿选矿,销售。</w:t>
      </w:r>
    </w:p>
    <w:p>
      <w:pPr>
        <w:spacing w:line="520" w:lineRule="exact"/>
        <w:ind w:firstLine="642" w:firstLineChars="200"/>
        <w:rPr>
          <w:rFonts w:ascii="仿宋_GB2312" w:hAnsi="仿宋" w:eastAsia="仿宋_GB2312"/>
          <w:sz w:val="32"/>
          <w:szCs w:val="32"/>
          <w:highlight w:val="none"/>
        </w:rPr>
      </w:pPr>
      <w:r>
        <w:rPr>
          <w:rFonts w:ascii="仿宋_GB2312" w:hAnsi="仿宋" w:eastAsia="仿宋_GB2312"/>
          <w:b/>
          <w:sz w:val="32"/>
          <w:szCs w:val="32"/>
          <w:highlight w:val="none"/>
        </w:rPr>
        <w:t>8</w:t>
      </w:r>
      <w:r>
        <w:rPr>
          <w:rFonts w:hint="eastAsia" w:ascii="仿宋_GB2312" w:hAnsi="仿宋" w:eastAsia="仿宋_GB2312"/>
          <w:b/>
          <w:sz w:val="32"/>
          <w:szCs w:val="32"/>
          <w:highlight w:val="none"/>
        </w:rPr>
        <w:t>.</w:t>
      </w:r>
      <w:r>
        <w:rPr>
          <w:rFonts w:hint="eastAsia" w:ascii="仿宋_GB2312" w:hAnsi="仿宋" w:eastAsia="仿宋_GB2312"/>
          <w:b/>
          <w:sz w:val="32"/>
          <w:szCs w:val="32"/>
          <w:highlight w:val="none"/>
          <w:lang w:eastAsia="zh-CN"/>
        </w:rPr>
        <w:t>连城县</w:t>
      </w:r>
      <w:r>
        <w:rPr>
          <w:rFonts w:hint="eastAsia" w:ascii="仿宋_GB2312" w:hAnsi="仿宋" w:eastAsia="仿宋_GB2312"/>
          <w:b/>
          <w:sz w:val="32"/>
          <w:szCs w:val="32"/>
          <w:highlight w:val="none"/>
        </w:rPr>
        <w:t>华丛建设工程有限公司：</w:t>
      </w:r>
      <w:r>
        <w:rPr>
          <w:rFonts w:hint="eastAsia" w:ascii="仿宋_GB2312" w:hAnsi="仿宋" w:eastAsia="仿宋_GB2312"/>
          <w:sz w:val="32"/>
          <w:szCs w:val="32"/>
          <w:highlight w:val="none"/>
        </w:rPr>
        <w:t>法定代表人，罗镇雄，成立于2017年5月8日，注册资本：</w:t>
      </w:r>
      <w:r>
        <w:rPr>
          <w:rFonts w:hint="eastAsia" w:ascii="仿宋_GB2312" w:hAnsi="仿宋" w:eastAsia="仿宋_GB2312"/>
          <w:sz w:val="32"/>
          <w:szCs w:val="32"/>
          <w:highlight w:val="none"/>
          <w:lang w:val="en-US" w:eastAsia="zh-CN"/>
        </w:rPr>
        <w:t>20</w:t>
      </w:r>
      <w:r>
        <w:rPr>
          <w:rFonts w:hint="eastAsia" w:ascii="仿宋_GB2312" w:hAnsi="仿宋" w:eastAsia="仿宋_GB2312"/>
          <w:sz w:val="32"/>
          <w:szCs w:val="32"/>
          <w:highlight w:val="none"/>
        </w:rPr>
        <w:t>万元，公司地址：福建省龙岩市连城县文亨镇文陂村连文路16号，经营范围：房屋建筑工程、市政公用工程、土石方工程、钢结构工程、体育场所设施工程、公路工程、水利水电工程、城市园林绿化工程、消防设施工程、古建筑工程、环保工程、机电设备安装工程、建筑装修装饰工程、城市道路照明工程的施工，建筑施工劳务分包。</w:t>
      </w:r>
    </w:p>
    <w:p>
      <w:pPr>
        <w:spacing w:line="520" w:lineRule="exact"/>
        <w:ind w:firstLine="642" w:firstLineChars="200"/>
        <w:rPr>
          <w:rFonts w:ascii="仿宋_GB2312" w:hAnsi="仿宋" w:eastAsia="仿宋_GB2312"/>
          <w:sz w:val="32"/>
          <w:szCs w:val="32"/>
          <w:highlight w:val="none"/>
        </w:rPr>
      </w:pPr>
      <w:r>
        <w:rPr>
          <w:rFonts w:ascii="仿宋_GB2312" w:hAnsi="仿宋" w:eastAsia="仿宋_GB2312"/>
          <w:b/>
          <w:sz w:val="32"/>
          <w:szCs w:val="32"/>
          <w:highlight w:val="none"/>
        </w:rPr>
        <w:t>9</w:t>
      </w:r>
      <w:r>
        <w:rPr>
          <w:rFonts w:hint="eastAsia" w:ascii="仿宋_GB2312" w:hAnsi="仿宋" w:eastAsia="仿宋_GB2312"/>
          <w:b/>
          <w:sz w:val="32"/>
          <w:szCs w:val="32"/>
          <w:highlight w:val="none"/>
        </w:rPr>
        <w:t>.连城县振龙化工有限公司：</w:t>
      </w:r>
      <w:r>
        <w:rPr>
          <w:rFonts w:hint="eastAsia" w:ascii="仿宋_GB2312" w:hAnsi="仿宋" w:eastAsia="仿宋_GB2312"/>
          <w:sz w:val="32"/>
          <w:szCs w:val="32"/>
          <w:highlight w:val="none"/>
        </w:rPr>
        <w:t>法定代表人：吴振芬，成立于2001年3月26日，注册资本：100万元，公司地址：连城县莲峰镇石门湖路5号，经营范围：林化机械设备、钢材、汽车、农用车、机电产品批发、零售；货物进出口。</w:t>
      </w:r>
    </w:p>
    <w:p>
      <w:pPr>
        <w:spacing w:line="520" w:lineRule="exact"/>
        <w:ind w:firstLine="629" w:firstLineChars="196"/>
        <w:rPr>
          <w:rFonts w:hint="eastAsia" w:ascii="仿宋_GB2312" w:hAnsi="仿宋" w:eastAsia="仿宋_GB2312"/>
          <w:sz w:val="32"/>
          <w:szCs w:val="32"/>
          <w:highlight w:val="none"/>
        </w:rPr>
      </w:pPr>
      <w:r>
        <w:rPr>
          <w:rFonts w:ascii="仿宋_GB2312" w:hAnsi="仿宋" w:eastAsia="仿宋_GB2312"/>
          <w:b/>
          <w:sz w:val="32"/>
          <w:szCs w:val="32"/>
          <w:highlight w:val="none"/>
        </w:rPr>
        <w:t>10</w:t>
      </w:r>
      <w:r>
        <w:rPr>
          <w:rFonts w:hint="eastAsia" w:ascii="仿宋_GB2312" w:hAnsi="仿宋" w:eastAsia="仿宋_GB2312"/>
          <w:b/>
          <w:sz w:val="32"/>
          <w:szCs w:val="32"/>
          <w:highlight w:val="none"/>
        </w:rPr>
        <w:t>.福建连城县龙威硅业有限公司：</w:t>
      </w:r>
      <w:r>
        <w:rPr>
          <w:rFonts w:hint="eastAsia" w:ascii="仿宋_GB2312" w:hAnsi="仿宋" w:eastAsia="仿宋_GB2312"/>
          <w:sz w:val="32"/>
          <w:szCs w:val="32"/>
          <w:highlight w:val="none"/>
        </w:rPr>
        <w:t>法定代表人：吴强，成立于</w:t>
      </w:r>
      <w:r>
        <w:rPr>
          <w:rFonts w:ascii="仿宋_GB2312" w:hAnsi="仿宋" w:eastAsia="仿宋_GB2312"/>
          <w:sz w:val="32"/>
          <w:szCs w:val="32"/>
          <w:highlight w:val="none"/>
        </w:rPr>
        <w:t>2000</w:t>
      </w:r>
      <w:r>
        <w:rPr>
          <w:rFonts w:hint="eastAsia" w:ascii="仿宋_GB2312" w:hAnsi="仿宋" w:eastAsia="仿宋_GB2312"/>
          <w:sz w:val="32"/>
          <w:szCs w:val="32"/>
          <w:highlight w:val="none"/>
        </w:rPr>
        <w:t>年</w:t>
      </w:r>
      <w:r>
        <w:rPr>
          <w:rFonts w:ascii="仿宋_GB2312" w:hAnsi="仿宋" w:eastAsia="仿宋_GB2312"/>
          <w:sz w:val="32"/>
          <w:szCs w:val="32"/>
          <w:highlight w:val="none"/>
        </w:rPr>
        <w:t>4</w:t>
      </w:r>
      <w:r>
        <w:rPr>
          <w:rFonts w:hint="eastAsia" w:ascii="仿宋_GB2312" w:hAnsi="仿宋" w:eastAsia="仿宋_GB2312"/>
          <w:sz w:val="32"/>
          <w:szCs w:val="32"/>
          <w:highlight w:val="none"/>
        </w:rPr>
        <w:t>月1</w:t>
      </w:r>
      <w:r>
        <w:rPr>
          <w:rFonts w:ascii="仿宋_GB2312" w:hAnsi="仿宋" w:eastAsia="仿宋_GB2312"/>
          <w:sz w:val="32"/>
          <w:szCs w:val="32"/>
          <w:highlight w:val="none"/>
        </w:rPr>
        <w:t>9</w:t>
      </w:r>
      <w:r>
        <w:rPr>
          <w:rFonts w:hint="eastAsia" w:ascii="仿宋_GB2312" w:hAnsi="仿宋" w:eastAsia="仿宋_GB2312"/>
          <w:sz w:val="32"/>
          <w:szCs w:val="32"/>
          <w:highlight w:val="none"/>
        </w:rPr>
        <w:t>日，注册资本：50万元，公司地址：龙岩市连城县北团镇山下村山下街5-</w:t>
      </w:r>
      <w:r>
        <w:rPr>
          <w:rFonts w:ascii="仿宋_GB2312" w:hAnsi="仿宋" w:eastAsia="仿宋_GB2312"/>
          <w:sz w:val="32"/>
          <w:szCs w:val="32"/>
          <w:highlight w:val="none"/>
        </w:rPr>
        <w:t>4</w:t>
      </w:r>
      <w:r>
        <w:rPr>
          <w:rFonts w:hint="eastAsia" w:ascii="仿宋_GB2312" w:hAnsi="仿宋" w:eastAsia="仿宋_GB2312"/>
          <w:sz w:val="32"/>
          <w:szCs w:val="32"/>
          <w:highlight w:val="none"/>
        </w:rPr>
        <w:t>号，经营范围：金属硅销售；自有厂房、机器设备租赁服务。</w:t>
      </w:r>
    </w:p>
    <w:p>
      <w:pPr>
        <w:spacing w:line="520" w:lineRule="exact"/>
        <w:ind w:firstLine="627" w:firstLineChars="196"/>
        <w:rPr>
          <w:rFonts w:ascii="仿宋_GB2312" w:hAnsi="仿宋" w:eastAsia="仿宋_GB2312"/>
          <w:b/>
          <w:sz w:val="32"/>
          <w:szCs w:val="32"/>
          <w:highlight w:val="none"/>
        </w:rPr>
      </w:pPr>
      <w:r>
        <w:rPr>
          <w:rFonts w:hint="eastAsia" w:ascii="黑体" w:hAnsi="黑体" w:eastAsia="黑体"/>
          <w:sz w:val="32"/>
          <w:szCs w:val="32"/>
          <w:highlight w:val="none"/>
        </w:rPr>
        <w:t xml:space="preserve">三、报告期末关联交易情况 </w:t>
      </w:r>
      <w:r>
        <w:rPr>
          <w:rFonts w:hint="eastAsia" w:ascii="仿宋_GB2312" w:hAnsi="仿宋" w:eastAsia="仿宋_GB2312"/>
          <w:sz w:val="32"/>
          <w:szCs w:val="32"/>
          <w:highlight w:val="none"/>
        </w:rPr>
        <w:t xml:space="preserve"> （单位：人民币万元）</w:t>
      </w:r>
    </w:p>
    <w:tbl>
      <w:tblPr>
        <w:tblStyle w:val="46"/>
        <w:tblW w:w="9521" w:type="dxa"/>
        <w:jc w:val="center"/>
        <w:tblLayout w:type="fixed"/>
        <w:tblCellMar>
          <w:top w:w="0" w:type="dxa"/>
          <w:left w:w="108" w:type="dxa"/>
          <w:bottom w:w="0" w:type="dxa"/>
          <w:right w:w="108" w:type="dxa"/>
        </w:tblCellMar>
      </w:tblPr>
      <w:tblGrid>
        <w:gridCol w:w="673"/>
        <w:gridCol w:w="3157"/>
        <w:gridCol w:w="1434"/>
        <w:gridCol w:w="1111"/>
        <w:gridCol w:w="1361"/>
        <w:gridCol w:w="1785"/>
      </w:tblGrid>
      <w:tr>
        <w:tblPrEx>
          <w:tblCellMar>
            <w:top w:w="0" w:type="dxa"/>
            <w:left w:w="108" w:type="dxa"/>
            <w:bottom w:w="0" w:type="dxa"/>
            <w:right w:w="108" w:type="dxa"/>
          </w:tblCellMar>
        </w:tblPrEx>
        <w:trPr>
          <w:trHeight w:val="300" w:hRule="atLeast"/>
          <w:jc w:val="center"/>
        </w:trPr>
        <w:tc>
          <w:tcPr>
            <w:tcW w:w="673" w:type="dxa"/>
            <w:tcBorders>
              <w:top w:val="single" w:color="auto" w:sz="4" w:space="0"/>
              <w:left w:val="single" w:color="auto" w:sz="4" w:space="0"/>
              <w:bottom w:val="single" w:color="000000" w:sz="4" w:space="0"/>
              <w:right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序号</w:t>
            </w:r>
          </w:p>
        </w:tc>
        <w:tc>
          <w:tcPr>
            <w:tcW w:w="315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关联方名称</w:t>
            </w:r>
          </w:p>
        </w:tc>
        <w:tc>
          <w:tcPr>
            <w:tcW w:w="14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关联方类型</w:t>
            </w:r>
          </w:p>
        </w:tc>
        <w:tc>
          <w:tcPr>
            <w:tcW w:w="111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持股</w:t>
            </w:r>
            <w:r>
              <w:rPr>
                <w:rFonts w:hint="eastAsia" w:ascii="仿宋_GB2312" w:hAnsi="仿宋_GB2312" w:eastAsia="仿宋_GB2312" w:cs="仿宋_GB2312"/>
                <w:b/>
                <w:bCs/>
                <w:sz w:val="24"/>
                <w:szCs w:val="24"/>
                <w:highlight w:val="none"/>
              </w:rPr>
              <w:br w:type="textWrapping"/>
            </w:r>
            <w:r>
              <w:rPr>
                <w:rFonts w:hint="eastAsia" w:ascii="仿宋_GB2312" w:hAnsi="仿宋_GB2312" w:eastAsia="仿宋_GB2312" w:cs="仿宋_GB2312"/>
                <w:b/>
                <w:bCs/>
                <w:sz w:val="24"/>
                <w:szCs w:val="24"/>
                <w:highlight w:val="none"/>
              </w:rPr>
              <w:t>比例(%)</w:t>
            </w:r>
          </w:p>
        </w:tc>
        <w:tc>
          <w:tcPr>
            <w:tcW w:w="136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表内授信</w:t>
            </w:r>
          </w:p>
        </w:tc>
        <w:tc>
          <w:tcPr>
            <w:tcW w:w="1785" w:type="dxa"/>
            <w:tcBorders>
              <w:top w:val="single" w:color="auto" w:sz="4" w:space="0"/>
              <w:left w:val="single" w:color="auto" w:sz="4" w:space="0"/>
              <w:bottom w:val="single" w:color="000000" w:sz="4" w:space="0"/>
              <w:right w:val="single" w:color="auto" w:sz="4" w:space="0"/>
            </w:tcBorders>
            <w:vAlign w:val="center"/>
          </w:tcPr>
          <w:p>
            <w:pPr>
              <w:spacing w:line="520" w:lineRule="exact"/>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与本社关系</w:t>
            </w:r>
          </w:p>
        </w:tc>
      </w:tr>
      <w:tr>
        <w:tblPrEx>
          <w:tblCellMar>
            <w:top w:w="0" w:type="dxa"/>
            <w:left w:w="108" w:type="dxa"/>
            <w:bottom w:w="0" w:type="dxa"/>
            <w:right w:w="108" w:type="dxa"/>
          </w:tblCellMar>
        </w:tblPrEx>
        <w:trPr>
          <w:trHeight w:val="306"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连城县恒盛昌木材有限责任公司</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关联法人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4.6449</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817.50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法人理事</w:t>
            </w:r>
          </w:p>
        </w:tc>
      </w:tr>
      <w:tr>
        <w:tblPrEx>
          <w:tblCellMar>
            <w:top w:w="0" w:type="dxa"/>
            <w:left w:w="108" w:type="dxa"/>
            <w:bottom w:w="0" w:type="dxa"/>
            <w:right w:w="108" w:type="dxa"/>
          </w:tblCellMar>
        </w:tblPrEx>
        <w:trPr>
          <w:trHeight w:val="312"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陈炳明</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200.00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法人监事的法定代表人</w:t>
            </w:r>
          </w:p>
        </w:tc>
      </w:tr>
      <w:tr>
        <w:tblPrEx>
          <w:tblCellMar>
            <w:top w:w="0" w:type="dxa"/>
            <w:left w:w="108" w:type="dxa"/>
            <w:bottom w:w="0" w:type="dxa"/>
            <w:right w:w="108" w:type="dxa"/>
          </w:tblCellMar>
        </w:tblPrEx>
        <w:trPr>
          <w:trHeight w:val="312"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3</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罗镇强</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148.92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法人理事的重要关联人</w:t>
            </w:r>
          </w:p>
        </w:tc>
      </w:tr>
      <w:tr>
        <w:tblPrEx>
          <w:tblCellMar>
            <w:top w:w="0" w:type="dxa"/>
            <w:left w:w="108" w:type="dxa"/>
            <w:bottom w:w="0" w:type="dxa"/>
            <w:right w:w="108" w:type="dxa"/>
          </w:tblCellMar>
        </w:tblPrEx>
        <w:trPr>
          <w:trHeight w:val="312"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4</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罗兴裕</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0.0716</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140.00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职工理事的亲属</w:t>
            </w:r>
          </w:p>
        </w:tc>
      </w:tr>
      <w:tr>
        <w:tblPrEx>
          <w:tblCellMar>
            <w:top w:w="0" w:type="dxa"/>
            <w:left w:w="108" w:type="dxa"/>
            <w:bottom w:w="0" w:type="dxa"/>
            <w:right w:w="108" w:type="dxa"/>
          </w:tblCellMar>
        </w:tblPrEx>
        <w:trPr>
          <w:trHeight w:val="312"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5</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黄孟芳</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60.00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职工亲属</w:t>
            </w:r>
          </w:p>
        </w:tc>
      </w:tr>
      <w:tr>
        <w:tblPrEx>
          <w:tblCellMar>
            <w:top w:w="0" w:type="dxa"/>
            <w:left w:w="108" w:type="dxa"/>
            <w:bottom w:w="0" w:type="dxa"/>
            <w:right w:w="108" w:type="dxa"/>
          </w:tblCellMar>
        </w:tblPrEx>
        <w:trPr>
          <w:trHeight w:val="312"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6</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俞贵胜</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46.00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法人理事的重要关联人</w:t>
            </w:r>
          </w:p>
        </w:tc>
      </w:tr>
      <w:tr>
        <w:tblPrEx>
          <w:tblCellMar>
            <w:top w:w="0" w:type="dxa"/>
            <w:left w:w="108" w:type="dxa"/>
            <w:bottom w:w="0" w:type="dxa"/>
            <w:right w:w="108" w:type="dxa"/>
          </w:tblCellMar>
        </w:tblPrEx>
        <w:trPr>
          <w:trHeight w:val="300"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7</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刘燕</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42.62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职工亲属</w:t>
            </w:r>
          </w:p>
        </w:tc>
      </w:tr>
      <w:tr>
        <w:tblPrEx>
          <w:tblCellMar>
            <w:top w:w="0" w:type="dxa"/>
            <w:left w:w="108" w:type="dxa"/>
            <w:bottom w:w="0" w:type="dxa"/>
            <w:right w:w="108" w:type="dxa"/>
          </w:tblCellMar>
        </w:tblPrEx>
        <w:trPr>
          <w:trHeight w:val="290"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8</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杨玲</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30.00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职工亲属</w:t>
            </w:r>
          </w:p>
        </w:tc>
      </w:tr>
      <w:tr>
        <w:tblPrEx>
          <w:tblCellMar>
            <w:top w:w="0" w:type="dxa"/>
            <w:left w:w="108" w:type="dxa"/>
            <w:bottom w:w="0" w:type="dxa"/>
            <w:right w:w="108" w:type="dxa"/>
          </w:tblCellMar>
        </w:tblPrEx>
        <w:trPr>
          <w:trHeight w:val="290"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9</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罗镇发</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29.75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法人理事的股东</w:t>
            </w:r>
          </w:p>
        </w:tc>
      </w:tr>
      <w:tr>
        <w:tblPrEx>
          <w:tblCellMar>
            <w:top w:w="0" w:type="dxa"/>
            <w:left w:w="108" w:type="dxa"/>
            <w:bottom w:w="0" w:type="dxa"/>
            <w:right w:w="108" w:type="dxa"/>
          </w:tblCellMar>
        </w:tblPrEx>
        <w:trPr>
          <w:trHeight w:val="290"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10</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吴平</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20.29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职工亲属</w:t>
            </w:r>
          </w:p>
        </w:tc>
      </w:tr>
      <w:tr>
        <w:tblPrEx>
          <w:tblCellMar>
            <w:top w:w="0" w:type="dxa"/>
            <w:left w:w="108" w:type="dxa"/>
            <w:bottom w:w="0" w:type="dxa"/>
            <w:right w:w="108" w:type="dxa"/>
          </w:tblCellMar>
        </w:tblPrEx>
        <w:trPr>
          <w:trHeight w:val="290"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11</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江水云</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0.0037</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14.82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08"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12</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罗水英</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10.00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职工亲属</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13</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官美招</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10.00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职工亲属</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14</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周小荣</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0.1289</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6.31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15</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陈荣勇</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0.2875</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5.00 </w:t>
            </w:r>
          </w:p>
        </w:tc>
        <w:tc>
          <w:tcPr>
            <w:tcW w:w="1785" w:type="dxa"/>
            <w:tcBorders>
              <w:top w:val="nil"/>
              <w:left w:val="nil"/>
              <w:bottom w:val="single" w:color="auto" w:sz="4" w:space="0"/>
              <w:right w:val="single" w:color="auto" w:sz="4" w:space="0"/>
            </w:tcBorders>
            <w:vAlign w:val="center"/>
          </w:tcPr>
          <w:p>
            <w:pPr>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自然人股东</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16</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姚炜程</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0.0117</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1.80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17</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张婧</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0.0117</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1.26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18</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吴声远</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0.83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19</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廖俊云</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0.0058</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0.52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20</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江建涛</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0.0117</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0.30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21</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罗诚钧</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0.0058</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0.27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22</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邓永桂</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0.0033</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0.21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23</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童章伟</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0.0015</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0.17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24</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黄桂萍</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0.0489</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0.12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25</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张玮珉</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0.0058</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0.09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26</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吴昭明</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0.0058</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0.06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27</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周虹宇</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0.06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28</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张雪玉</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0.0132</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0.06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29</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李强</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0.0058</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0.06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673" w:type="dxa"/>
            <w:tcBorders>
              <w:top w:val="nil"/>
              <w:left w:val="single" w:color="auto" w:sz="4" w:space="0"/>
              <w:bottom w:val="single" w:color="auto" w:sz="4" w:space="0"/>
              <w:right w:val="nil"/>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30</w:t>
            </w:r>
          </w:p>
        </w:tc>
        <w:tc>
          <w:tcPr>
            <w:tcW w:w="315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仿宋_GB2312" w:eastAsia="仿宋_GB2312" w:cs="仿宋_GB2312"/>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林锋华</w:t>
            </w:r>
          </w:p>
        </w:tc>
        <w:tc>
          <w:tcPr>
            <w:tcW w:w="143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关联自然人</w:t>
            </w:r>
          </w:p>
        </w:tc>
        <w:tc>
          <w:tcPr>
            <w:tcW w:w="11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0</w:t>
            </w:r>
          </w:p>
        </w:tc>
        <w:tc>
          <w:tcPr>
            <w:tcW w:w="136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0.06 </w:t>
            </w:r>
          </w:p>
        </w:tc>
        <w:tc>
          <w:tcPr>
            <w:tcW w:w="178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仿宋_GB2312" w:eastAsia="仿宋_GB2312" w:cs="仿宋_GB2312"/>
                <w:sz w:val="24"/>
                <w:szCs w:val="24"/>
                <w:highlight w:val="none"/>
              </w:rPr>
            </w:pPr>
            <w:r>
              <w:rPr>
                <w:rFonts w:hint="eastAsia" w:ascii="仿宋_GB2312" w:hAnsi="宋体" w:eastAsia="仿宋_GB2312" w:cs="仿宋_GB2312"/>
                <w:i w:val="0"/>
                <w:iCs w:val="0"/>
                <w:color w:val="000000"/>
                <w:kern w:val="0"/>
                <w:sz w:val="24"/>
                <w:szCs w:val="24"/>
                <w:highlight w:val="none"/>
                <w:u w:val="none"/>
                <w:lang w:val="en-US" w:eastAsia="zh-CN" w:bidi="ar"/>
              </w:rPr>
              <w:t>职工</w:t>
            </w:r>
          </w:p>
        </w:tc>
      </w:tr>
      <w:tr>
        <w:tblPrEx>
          <w:tblCellMar>
            <w:top w:w="0" w:type="dxa"/>
            <w:left w:w="108" w:type="dxa"/>
            <w:bottom w:w="0" w:type="dxa"/>
            <w:right w:w="108" w:type="dxa"/>
          </w:tblCellMar>
        </w:tblPrEx>
        <w:trPr>
          <w:trHeight w:val="371" w:hRule="atLeast"/>
          <w:jc w:val="center"/>
        </w:trPr>
        <w:tc>
          <w:tcPr>
            <w:tcW w:w="3830" w:type="dxa"/>
            <w:gridSpan w:val="2"/>
            <w:tcBorders>
              <w:top w:val="nil"/>
              <w:left w:val="single" w:color="auto" w:sz="4" w:space="0"/>
              <w:bottom w:val="nil"/>
              <w:right w:val="single" w:color="auto" w:sz="4" w:space="0"/>
            </w:tcBorders>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合计</w:t>
            </w:r>
          </w:p>
        </w:tc>
        <w:tc>
          <w:tcPr>
            <w:tcW w:w="1434" w:type="dxa"/>
            <w:tcBorders>
              <w:top w:val="nil"/>
              <w:left w:val="nil"/>
              <w:bottom w:val="nil"/>
              <w:right w:val="single" w:color="auto" w:sz="4" w:space="0"/>
            </w:tcBorders>
            <w:vAlign w:val="center"/>
          </w:tcPr>
          <w:p>
            <w:pPr>
              <w:spacing w:line="520" w:lineRule="exact"/>
              <w:jc w:val="center"/>
              <w:rPr>
                <w:rFonts w:ascii="仿宋_GB2312" w:hAnsi="仿宋_GB2312" w:eastAsia="仿宋_GB2312" w:cs="仿宋_GB2312"/>
                <w:sz w:val="24"/>
                <w:szCs w:val="24"/>
                <w:highlight w:val="none"/>
              </w:rPr>
            </w:pPr>
          </w:p>
        </w:tc>
        <w:tc>
          <w:tcPr>
            <w:tcW w:w="1111" w:type="dxa"/>
            <w:tcBorders>
              <w:top w:val="nil"/>
              <w:left w:val="nil"/>
              <w:bottom w:val="nil"/>
              <w:right w:val="single" w:color="auto" w:sz="4" w:space="0"/>
            </w:tcBorders>
            <w:vAlign w:val="center"/>
          </w:tcPr>
          <w:p>
            <w:pPr>
              <w:spacing w:line="520" w:lineRule="exact"/>
              <w:jc w:val="center"/>
              <w:rPr>
                <w:rFonts w:ascii="仿宋_GB2312" w:hAnsi="仿宋_GB2312" w:eastAsia="仿宋_GB2312" w:cs="仿宋_GB2312"/>
                <w:sz w:val="24"/>
                <w:szCs w:val="24"/>
                <w:highlight w:val="none"/>
              </w:rPr>
            </w:pPr>
          </w:p>
        </w:tc>
        <w:tc>
          <w:tcPr>
            <w:tcW w:w="1361" w:type="dxa"/>
            <w:tcBorders>
              <w:top w:val="nil"/>
              <w:left w:val="nil"/>
              <w:bottom w:val="nil"/>
              <w:right w:val="single" w:color="auto" w:sz="4" w:space="0"/>
            </w:tcBorders>
            <w:vAlign w:val="bottom"/>
          </w:tcPr>
          <w:p>
            <w:pPr>
              <w:spacing w:line="52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1587.35</w:t>
            </w:r>
          </w:p>
        </w:tc>
        <w:tc>
          <w:tcPr>
            <w:tcW w:w="1785" w:type="dxa"/>
            <w:tcBorders>
              <w:top w:val="nil"/>
              <w:left w:val="nil"/>
              <w:bottom w:val="nil"/>
              <w:right w:val="single" w:color="auto" w:sz="4" w:space="0"/>
            </w:tcBorders>
            <w:vAlign w:val="center"/>
          </w:tcPr>
          <w:p>
            <w:pPr>
              <w:spacing w:line="520" w:lineRule="exact"/>
              <w:jc w:val="center"/>
              <w:rPr>
                <w:rFonts w:ascii="仿宋_GB2312" w:hAnsi="仿宋_GB2312" w:eastAsia="仿宋_GB2312" w:cs="仿宋_GB2312"/>
                <w:sz w:val="24"/>
                <w:szCs w:val="24"/>
                <w:highlight w:val="none"/>
              </w:rPr>
            </w:pPr>
          </w:p>
        </w:tc>
      </w:tr>
    </w:tbl>
    <w:p>
      <w:pPr>
        <w:spacing w:line="520" w:lineRule="exact"/>
        <w:ind w:firstLine="178" w:firstLineChars="85"/>
        <w:rPr>
          <w:rFonts w:ascii="仿宋_GB2312" w:eastAsia="仿宋_GB2312"/>
          <w:highlight w:val="none"/>
        </w:rPr>
      </w:pPr>
      <w:r>
        <w:rPr>
          <w:rFonts w:hint="eastAsia" w:ascii="仿宋_GB2312" w:eastAsia="仿宋_GB2312"/>
          <w:highlight w:val="none"/>
        </w:rPr>
        <w:t>截至202</w:t>
      </w:r>
      <w:r>
        <w:rPr>
          <w:rFonts w:hint="eastAsia" w:ascii="仿宋_GB2312" w:eastAsia="仿宋_GB2312"/>
          <w:highlight w:val="none"/>
          <w:lang w:val="en-US" w:eastAsia="zh-CN"/>
        </w:rPr>
        <w:t>4</w:t>
      </w:r>
      <w:r>
        <w:rPr>
          <w:rFonts w:hint="eastAsia" w:ascii="仿宋_GB2312" w:eastAsia="仿宋_GB2312"/>
          <w:highlight w:val="none"/>
        </w:rPr>
        <w:t>年12月31日，本社不存在具有控制关系的关联方。</w:t>
      </w:r>
    </w:p>
    <w:p>
      <w:pPr>
        <w:pStyle w:val="2"/>
        <w:rPr>
          <w:highlight w:val="none"/>
        </w:rPr>
      </w:pPr>
    </w:p>
    <w:p>
      <w:pPr>
        <w:numPr>
          <w:ilvl w:val="0"/>
          <w:numId w:val="12"/>
        </w:numPr>
        <w:spacing w:line="520" w:lineRule="exact"/>
        <w:ind w:firstLine="600"/>
        <w:rPr>
          <w:rFonts w:ascii="黑体" w:hAnsi="黑体" w:eastAsia="黑体"/>
          <w:sz w:val="32"/>
          <w:szCs w:val="32"/>
          <w:highlight w:val="none"/>
        </w:rPr>
      </w:pPr>
      <w:r>
        <w:rPr>
          <w:rFonts w:hint="eastAsia" w:ascii="黑体" w:hAnsi="黑体" w:eastAsia="黑体"/>
          <w:sz w:val="32"/>
          <w:szCs w:val="32"/>
          <w:highlight w:val="none"/>
        </w:rPr>
        <w:t>法人理事单位福建连城国有投资集团有限公司及其子公司贷款情况</w:t>
      </w:r>
    </w:p>
    <w:tbl>
      <w:tblPr>
        <w:tblStyle w:val="4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4394"/>
        <w:gridCol w:w="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7" w:type="dxa"/>
            <w:vAlign w:val="center"/>
          </w:tcPr>
          <w:p>
            <w:pPr>
              <w:spacing w:line="520" w:lineRule="exact"/>
              <w:jc w:val="center"/>
              <w:rPr>
                <w:rFonts w:ascii="仿宋_GB2312" w:hAnsi="仿宋_GB2312" w:eastAsia="仿宋_GB2312" w:cs="仿宋_GB2312"/>
                <w:b/>
                <w:bCs/>
                <w:sz w:val="24"/>
                <w:highlight w:val="none"/>
              </w:rPr>
            </w:pPr>
            <w:r>
              <w:rPr>
                <w:rFonts w:hint="eastAsia" w:ascii="仿宋_GB2312" w:hAnsi="仿宋_GB2312" w:eastAsia="仿宋_GB2312" w:cs="仿宋_GB2312"/>
                <w:b/>
                <w:bCs/>
                <w:sz w:val="24"/>
                <w:highlight w:val="none"/>
              </w:rPr>
              <w:t>序号</w:t>
            </w:r>
          </w:p>
        </w:tc>
        <w:tc>
          <w:tcPr>
            <w:tcW w:w="4394" w:type="dxa"/>
            <w:vAlign w:val="center"/>
          </w:tcPr>
          <w:p>
            <w:pPr>
              <w:spacing w:line="520" w:lineRule="exact"/>
              <w:jc w:val="center"/>
              <w:rPr>
                <w:rFonts w:ascii="仿宋_GB2312" w:hAnsi="仿宋_GB2312" w:eastAsia="仿宋_GB2312" w:cs="仿宋_GB2312"/>
                <w:b/>
                <w:bCs/>
                <w:sz w:val="24"/>
                <w:highlight w:val="none"/>
              </w:rPr>
            </w:pPr>
            <w:r>
              <w:rPr>
                <w:rFonts w:hint="eastAsia" w:ascii="仿宋_GB2312" w:hAnsi="仿宋_GB2312" w:eastAsia="仿宋_GB2312" w:cs="仿宋_GB2312"/>
                <w:b/>
                <w:bCs/>
                <w:sz w:val="24"/>
                <w:highlight w:val="none"/>
              </w:rPr>
              <w:t>借款人</w:t>
            </w:r>
          </w:p>
        </w:tc>
        <w:tc>
          <w:tcPr>
            <w:tcW w:w="3685" w:type="dxa"/>
            <w:vAlign w:val="center"/>
          </w:tcPr>
          <w:p>
            <w:pPr>
              <w:spacing w:line="520" w:lineRule="exact"/>
              <w:jc w:val="center"/>
              <w:rPr>
                <w:rFonts w:ascii="仿宋_GB2312" w:hAnsi="仿宋_GB2312" w:eastAsia="仿宋_GB2312" w:cs="仿宋_GB2312"/>
                <w:b/>
                <w:bCs/>
                <w:sz w:val="24"/>
                <w:highlight w:val="none"/>
              </w:rPr>
            </w:pPr>
            <w:r>
              <w:rPr>
                <w:rFonts w:hint="eastAsia" w:ascii="仿宋_GB2312" w:hAnsi="仿宋_GB2312" w:eastAsia="仿宋_GB2312" w:cs="仿宋_GB2312"/>
                <w:b/>
                <w:bCs/>
                <w:sz w:val="24"/>
                <w:highlight w:val="none"/>
              </w:rPr>
              <w:t>贷款余额（万元）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7"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1</w:t>
            </w:r>
          </w:p>
        </w:tc>
        <w:tc>
          <w:tcPr>
            <w:tcW w:w="4394"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连城县工贸发展有限公司</w:t>
            </w:r>
          </w:p>
        </w:tc>
        <w:tc>
          <w:tcPr>
            <w:tcW w:w="3685"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7"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2</w:t>
            </w:r>
          </w:p>
        </w:tc>
        <w:tc>
          <w:tcPr>
            <w:tcW w:w="4394"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连城县连发城市建设有限公司</w:t>
            </w:r>
          </w:p>
        </w:tc>
        <w:tc>
          <w:tcPr>
            <w:tcW w:w="3685"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6</w:t>
            </w:r>
            <w:r>
              <w:rPr>
                <w:rFonts w:hint="eastAsia" w:ascii="仿宋_GB2312" w:hAnsi="仿宋_GB2312" w:eastAsia="仿宋_GB2312" w:cs="仿宋_GB2312"/>
                <w:sz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7"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3</w:t>
            </w:r>
          </w:p>
        </w:tc>
        <w:tc>
          <w:tcPr>
            <w:tcW w:w="4394"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连城县朋翔城镇建设投资开发有限公司</w:t>
            </w:r>
          </w:p>
        </w:tc>
        <w:tc>
          <w:tcPr>
            <w:tcW w:w="3685"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7"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4</w:t>
            </w:r>
          </w:p>
        </w:tc>
        <w:tc>
          <w:tcPr>
            <w:tcW w:w="4394"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福建连城国通生物科技有限公司</w:t>
            </w:r>
          </w:p>
        </w:tc>
        <w:tc>
          <w:tcPr>
            <w:tcW w:w="3685"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7"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5</w:t>
            </w:r>
          </w:p>
        </w:tc>
        <w:tc>
          <w:tcPr>
            <w:tcW w:w="4394"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连城冠豸山民航有限公司</w:t>
            </w:r>
          </w:p>
        </w:tc>
        <w:tc>
          <w:tcPr>
            <w:tcW w:w="3685"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7"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6</w:t>
            </w:r>
          </w:p>
        </w:tc>
        <w:tc>
          <w:tcPr>
            <w:tcW w:w="4394"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连城县交通投资建设有限公司</w:t>
            </w:r>
          </w:p>
        </w:tc>
        <w:tc>
          <w:tcPr>
            <w:tcW w:w="3685" w:type="dxa"/>
            <w:vAlign w:val="center"/>
          </w:tcPr>
          <w:p>
            <w:pPr>
              <w:spacing w:line="52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671" w:type="dxa"/>
            <w:gridSpan w:val="2"/>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合计</w:t>
            </w:r>
          </w:p>
        </w:tc>
        <w:tc>
          <w:tcPr>
            <w:tcW w:w="3685" w:type="dxa"/>
            <w:vAlign w:val="center"/>
          </w:tcPr>
          <w:p>
            <w:pPr>
              <w:spacing w:line="520" w:lineRule="exact"/>
              <w:jc w:val="center"/>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r>
              <w:rPr>
                <w:rFonts w:hint="eastAsia" w:ascii="仿宋_GB2312" w:hAnsi="仿宋_GB2312" w:eastAsia="仿宋_GB2312" w:cs="仿宋_GB2312"/>
                <w:sz w:val="24"/>
                <w:szCs w:val="24"/>
                <w:highlight w:val="none"/>
                <w:lang w:val="en-US" w:eastAsia="zh-CN"/>
              </w:rPr>
              <w:t>7</w:t>
            </w:r>
            <w:r>
              <w:rPr>
                <w:rFonts w:hint="eastAsia" w:ascii="仿宋_GB2312" w:hAnsi="仿宋_GB2312" w:eastAsia="仿宋_GB2312" w:cs="仿宋_GB2312"/>
                <w:sz w:val="24"/>
                <w:szCs w:val="24"/>
                <w:highlight w:val="none"/>
              </w:rPr>
              <w:t>90</w:t>
            </w:r>
          </w:p>
        </w:tc>
      </w:tr>
    </w:tbl>
    <w:p>
      <w:pPr>
        <w:pStyle w:val="3"/>
        <w:keepNext w:val="0"/>
        <w:keepLines w:val="0"/>
        <w:spacing w:before="0" w:after="0" w:line="520" w:lineRule="exact"/>
        <w:ind w:left="210"/>
        <w:jc w:val="center"/>
        <w:rPr>
          <w:rFonts w:ascii="黑体" w:hAnsi="仿宋" w:eastAsia="黑体"/>
          <w:b w:val="0"/>
          <w:bCs w:val="0"/>
          <w:kern w:val="2"/>
          <w:sz w:val="32"/>
          <w:szCs w:val="32"/>
          <w:highlight w:val="none"/>
        </w:rPr>
      </w:pPr>
      <w:bookmarkStart w:id="5" w:name="_Toc511721818"/>
    </w:p>
    <w:p>
      <w:pPr>
        <w:pStyle w:val="3"/>
        <w:keepNext w:val="0"/>
        <w:keepLines w:val="0"/>
        <w:spacing w:before="0" w:after="0" w:line="520" w:lineRule="exact"/>
        <w:ind w:left="210"/>
        <w:jc w:val="center"/>
        <w:rPr>
          <w:rFonts w:ascii="黑体" w:hAnsi="仿宋" w:eastAsia="黑体"/>
          <w:b w:val="0"/>
          <w:bCs w:val="0"/>
          <w:kern w:val="2"/>
          <w:sz w:val="32"/>
          <w:szCs w:val="32"/>
          <w:highlight w:val="none"/>
        </w:rPr>
      </w:pPr>
      <w:r>
        <w:rPr>
          <w:rFonts w:hint="eastAsia" w:ascii="黑体" w:hAnsi="仿宋" w:eastAsia="黑体"/>
          <w:b w:val="0"/>
          <w:bCs w:val="0"/>
          <w:kern w:val="2"/>
          <w:sz w:val="32"/>
          <w:szCs w:val="32"/>
          <w:highlight w:val="none"/>
        </w:rPr>
        <w:t>第八章理事、监事、高级管理人员、员工和机构情况</w:t>
      </w:r>
    </w:p>
    <w:p>
      <w:pPr>
        <w:rPr>
          <w:highlight w:val="none"/>
        </w:rPr>
      </w:pPr>
    </w:p>
    <w:p>
      <w:pPr>
        <w:numPr>
          <w:ilvl w:val="0"/>
          <w:numId w:val="15"/>
        </w:numPr>
        <w:spacing w:line="520" w:lineRule="exact"/>
        <w:rPr>
          <w:rFonts w:ascii="黑体" w:hAnsi="黑体" w:eastAsia="黑体"/>
          <w:sz w:val="32"/>
          <w:szCs w:val="32"/>
          <w:highlight w:val="none"/>
        </w:rPr>
      </w:pPr>
      <w:r>
        <w:rPr>
          <w:rFonts w:hint="eastAsia" w:ascii="黑体" w:hAnsi="黑体" w:eastAsia="黑体"/>
          <w:sz w:val="32"/>
          <w:szCs w:val="32"/>
          <w:highlight w:val="none"/>
        </w:rPr>
        <w:t xml:space="preserve">理事会成员基本情况 </w:t>
      </w:r>
    </w:p>
    <w:p>
      <w:pPr>
        <w:pStyle w:val="2"/>
      </w:pPr>
    </w:p>
    <w:p>
      <w:pPr>
        <w:pStyle w:val="2"/>
        <w:rPr>
          <w:highlight w:val="none"/>
        </w:rPr>
      </w:pPr>
    </w:p>
    <w:tbl>
      <w:tblPr>
        <w:tblStyle w:val="46"/>
        <w:tblW w:w="9215" w:type="dxa"/>
        <w:tblInd w:w="-17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20"/>
        <w:gridCol w:w="1177"/>
        <w:gridCol w:w="526"/>
        <w:gridCol w:w="1241"/>
        <w:gridCol w:w="1890"/>
        <w:gridCol w:w="1134"/>
        <w:gridCol w:w="493"/>
        <w:gridCol w:w="683"/>
        <w:gridCol w:w="9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姓 名</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职 务</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性别</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出生年月</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单位</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任期起始时间</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是否领取薪酬</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是否持有股份</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持股数量</w:t>
            </w:r>
          </w:p>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（单位：万股）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pStyle w:val="2"/>
              <w:rPr>
                <w:rFonts w:hint="eastAsia"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邹树辉</w:t>
            </w:r>
          </w:p>
          <w:p>
            <w:pPr>
              <w:pStyle w:val="2"/>
              <w:rPr>
                <w:rFonts w:hint="eastAsia" w:ascii="仿宋_GB2312" w:hAnsi="仿宋_GB2312" w:eastAsia="仿宋_GB2312" w:cs="仿宋_GB2312"/>
                <w:color w:val="auto"/>
                <w:sz w:val="24"/>
                <w:szCs w:val="24"/>
                <w:highlight w:val="none"/>
              </w:rPr>
            </w:pP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理事长</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1973.06</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吴声远</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主任</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1985.08</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黄桂萍</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运营管理部经理</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女</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1974.09</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14.9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江盛宏</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村书记</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1970.05</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连城县北团镇石丰村</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87.67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罗敦昌</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经理</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1975.01</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福连矿业开发有限公司财务部</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96.44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color w:val="auto"/>
                <w:highlight w:val="none"/>
              </w:rPr>
            </w:pPr>
          </w:p>
          <w:p>
            <w:pPr>
              <w:spacing w:line="520" w:lineRule="exact"/>
              <w:rPr>
                <w:color w:val="auto"/>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俞贵胜</w:t>
            </w:r>
          </w:p>
          <w:p>
            <w:pPr>
              <w:pStyle w:val="2"/>
              <w:rPr>
                <w:rFonts w:ascii="仿宋_GB2312" w:hAnsi="仿宋_GB2312" w:eastAsia="仿宋_GB2312" w:cs="仿宋_GB2312"/>
                <w:color w:val="auto"/>
                <w:sz w:val="24"/>
                <w:szCs w:val="24"/>
                <w:highlight w:val="none"/>
              </w:rPr>
            </w:pPr>
          </w:p>
          <w:p>
            <w:pPr>
              <w:pStyle w:val="2"/>
              <w:rPr>
                <w:rFonts w:ascii="仿宋_GB2312" w:hAnsi="仿宋_GB2312" w:eastAsia="仿宋_GB2312" w:cs="仿宋_GB2312"/>
                <w:color w:val="auto"/>
                <w:sz w:val="24"/>
                <w:szCs w:val="24"/>
                <w:highlight w:val="none"/>
              </w:rPr>
            </w:pP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财务总监</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1969.2</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连城县东方经济开发有限公司</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1437.78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罗均盛</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总经理</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1955.11</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连城县恒盛昌木材有限责任公司</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1437.14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曹来新</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经理</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女</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1969.09</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福建连城国有投资集团有限公司</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701.36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王海金</w:t>
            </w:r>
          </w:p>
        </w:tc>
        <w:tc>
          <w:tcPr>
            <w:tcW w:w="11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董事长</w:t>
            </w:r>
          </w:p>
        </w:tc>
        <w:tc>
          <w:tcPr>
            <w:tcW w:w="52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1969.12</w:t>
            </w:r>
          </w:p>
        </w:tc>
        <w:tc>
          <w:tcPr>
            <w:tcW w:w="18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连城县益民中医院</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49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8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95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40.98</w:t>
            </w:r>
          </w:p>
        </w:tc>
      </w:tr>
    </w:tbl>
    <w:p>
      <w:pPr>
        <w:spacing w:line="520" w:lineRule="exact"/>
        <w:ind w:firstLine="640" w:firstLineChars="200"/>
        <w:rPr>
          <w:rFonts w:ascii="黑体" w:hAnsi="黑体" w:eastAsia="黑体"/>
          <w:color w:val="auto"/>
          <w:sz w:val="32"/>
          <w:szCs w:val="32"/>
          <w:highlight w:val="none"/>
        </w:rPr>
      </w:pPr>
    </w:p>
    <w:p>
      <w:pPr>
        <w:numPr>
          <w:ilvl w:val="0"/>
          <w:numId w:val="15"/>
        </w:numPr>
        <w:spacing w:line="520" w:lineRule="exact"/>
        <w:rPr>
          <w:rFonts w:ascii="黑体" w:hAnsi="黑体" w:eastAsia="黑体"/>
          <w:color w:val="auto"/>
          <w:sz w:val="32"/>
          <w:szCs w:val="32"/>
          <w:highlight w:val="none"/>
        </w:rPr>
      </w:pPr>
      <w:r>
        <w:rPr>
          <w:rFonts w:hint="eastAsia" w:ascii="黑体" w:hAnsi="黑体" w:eastAsia="黑体"/>
          <w:color w:val="auto"/>
          <w:sz w:val="32"/>
          <w:szCs w:val="32"/>
          <w:highlight w:val="none"/>
        </w:rPr>
        <w:t xml:space="preserve">监事会成员基本情况 </w:t>
      </w:r>
    </w:p>
    <w:p>
      <w:pPr>
        <w:pStyle w:val="2"/>
        <w:rPr>
          <w:color w:val="auto"/>
          <w:highlight w:val="none"/>
        </w:rPr>
      </w:pPr>
    </w:p>
    <w:tbl>
      <w:tblPr>
        <w:tblStyle w:val="46"/>
        <w:tblW w:w="9111" w:type="dxa"/>
        <w:tblInd w:w="-7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33"/>
        <w:gridCol w:w="1014"/>
        <w:gridCol w:w="713"/>
        <w:gridCol w:w="1075"/>
        <w:gridCol w:w="1788"/>
        <w:gridCol w:w="1164"/>
        <w:gridCol w:w="600"/>
        <w:gridCol w:w="648"/>
        <w:gridCol w:w="10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13" w:hRule="atLeast"/>
        </w:trPr>
        <w:tc>
          <w:tcPr>
            <w:tcW w:w="10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姓 名</w:t>
            </w:r>
          </w:p>
        </w:tc>
        <w:tc>
          <w:tcPr>
            <w:tcW w:w="101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职 务</w:t>
            </w:r>
          </w:p>
        </w:tc>
        <w:tc>
          <w:tcPr>
            <w:tcW w:w="71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性别</w:t>
            </w:r>
          </w:p>
        </w:tc>
        <w:tc>
          <w:tcPr>
            <w:tcW w:w="107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出生年月</w:t>
            </w:r>
          </w:p>
        </w:tc>
        <w:tc>
          <w:tcPr>
            <w:tcW w:w="178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单位</w:t>
            </w:r>
          </w:p>
        </w:tc>
        <w:tc>
          <w:tcPr>
            <w:tcW w:w="116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任期起始时间</w:t>
            </w:r>
          </w:p>
        </w:tc>
        <w:tc>
          <w:tcPr>
            <w:tcW w:w="60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是否领取薪酬</w:t>
            </w:r>
          </w:p>
        </w:tc>
        <w:tc>
          <w:tcPr>
            <w:tcW w:w="64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是否持有股份</w:t>
            </w:r>
          </w:p>
        </w:tc>
        <w:tc>
          <w:tcPr>
            <w:tcW w:w="107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持股数量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邓斐云</w:t>
            </w:r>
          </w:p>
        </w:tc>
        <w:tc>
          <w:tcPr>
            <w:tcW w:w="101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监事长</w:t>
            </w:r>
          </w:p>
        </w:tc>
        <w:tc>
          <w:tcPr>
            <w:tcW w:w="71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075" w:type="dxa"/>
            <w:tcBorders>
              <w:top w:val="single" w:color="auto" w:sz="4" w:space="0"/>
              <w:left w:val="single" w:color="auto" w:sz="4" w:space="0"/>
              <w:bottom w:val="single" w:color="auto" w:sz="4" w:space="0"/>
              <w:right w:val="single" w:color="auto" w:sz="4" w:space="0"/>
            </w:tcBorders>
            <w:vAlign w:val="center"/>
          </w:tcPr>
          <w:p>
            <w:pPr>
              <w:spacing w:line="520" w:lineRule="exac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1974.11</w:t>
            </w:r>
          </w:p>
        </w:tc>
        <w:tc>
          <w:tcPr>
            <w:tcW w:w="178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tc>
        <w:tc>
          <w:tcPr>
            <w:tcW w:w="116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60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64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107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罗诚军</w:t>
            </w:r>
          </w:p>
        </w:tc>
        <w:tc>
          <w:tcPr>
            <w:tcW w:w="101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审计部经理</w:t>
            </w:r>
          </w:p>
        </w:tc>
        <w:tc>
          <w:tcPr>
            <w:tcW w:w="71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07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1974.07</w:t>
            </w:r>
          </w:p>
        </w:tc>
        <w:tc>
          <w:tcPr>
            <w:tcW w:w="178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tc>
        <w:tc>
          <w:tcPr>
            <w:tcW w:w="116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60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64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1076" w:type="dxa"/>
            <w:tcBorders>
              <w:top w:val="single" w:color="auto" w:sz="4" w:space="0"/>
              <w:left w:val="single" w:color="auto" w:sz="4" w:space="0"/>
              <w:bottom w:val="single" w:color="auto" w:sz="4" w:space="0"/>
              <w:right w:val="single" w:color="auto" w:sz="4" w:space="0"/>
            </w:tcBorders>
            <w:vAlign w:val="center"/>
          </w:tcPr>
          <w:p>
            <w:pPr>
              <w:spacing w:line="520" w:lineRule="exac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53.89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吴兴琼</w:t>
            </w:r>
          </w:p>
        </w:tc>
        <w:tc>
          <w:tcPr>
            <w:tcW w:w="101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主任</w:t>
            </w:r>
          </w:p>
        </w:tc>
        <w:tc>
          <w:tcPr>
            <w:tcW w:w="71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女</w:t>
            </w:r>
          </w:p>
        </w:tc>
        <w:tc>
          <w:tcPr>
            <w:tcW w:w="107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1966.02</w:t>
            </w:r>
          </w:p>
        </w:tc>
        <w:tc>
          <w:tcPr>
            <w:tcW w:w="178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龙岩市住房中心连城管理部</w:t>
            </w:r>
          </w:p>
        </w:tc>
        <w:tc>
          <w:tcPr>
            <w:tcW w:w="116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60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4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107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97.67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color w:val="auto"/>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陈炳明</w:t>
            </w:r>
          </w:p>
          <w:p>
            <w:pPr>
              <w:pStyle w:val="2"/>
              <w:rPr>
                <w:rFonts w:ascii="仿宋_GB2312" w:hAnsi="仿宋_GB2312" w:eastAsia="仿宋_GB2312" w:cs="仿宋_GB2312"/>
                <w:color w:val="auto"/>
                <w:sz w:val="24"/>
                <w:szCs w:val="24"/>
                <w:highlight w:val="none"/>
              </w:rPr>
            </w:pPr>
          </w:p>
        </w:tc>
        <w:tc>
          <w:tcPr>
            <w:tcW w:w="101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总经理</w:t>
            </w:r>
          </w:p>
        </w:tc>
        <w:tc>
          <w:tcPr>
            <w:tcW w:w="71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07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1969.8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连城冠连矿业开发有限公司</w:t>
            </w:r>
          </w:p>
        </w:tc>
        <w:tc>
          <w:tcPr>
            <w:tcW w:w="116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2023.06</w:t>
            </w:r>
          </w:p>
        </w:tc>
        <w:tc>
          <w:tcPr>
            <w:tcW w:w="60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64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w:t>
            </w:r>
          </w:p>
        </w:tc>
        <w:tc>
          <w:tcPr>
            <w:tcW w:w="107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687.76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张礼怀</w:t>
            </w:r>
          </w:p>
        </w:tc>
        <w:tc>
          <w:tcPr>
            <w:tcW w:w="1014" w:type="dxa"/>
            <w:tcBorders>
              <w:top w:val="single" w:color="auto" w:sz="4" w:space="0"/>
              <w:left w:val="single" w:color="auto" w:sz="4" w:space="0"/>
              <w:bottom w:val="single" w:color="auto" w:sz="4" w:space="0"/>
              <w:right w:val="single" w:color="auto" w:sz="4" w:space="0"/>
            </w:tcBorders>
            <w:vAlign w:val="center"/>
          </w:tcPr>
          <w:p>
            <w:pPr>
              <w:spacing w:line="520" w:lineRule="exac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主审员</w:t>
            </w:r>
          </w:p>
        </w:tc>
        <w:tc>
          <w:tcPr>
            <w:tcW w:w="71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07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02</w:t>
            </w:r>
          </w:p>
        </w:tc>
        <w:tc>
          <w:tcPr>
            <w:tcW w:w="178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省联社龙岩办事处</w:t>
            </w:r>
          </w:p>
        </w:tc>
        <w:tc>
          <w:tcPr>
            <w:tcW w:w="116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202</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rPr>
              <w:t>.06</w:t>
            </w:r>
          </w:p>
        </w:tc>
        <w:tc>
          <w:tcPr>
            <w:tcW w:w="60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64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否</w:t>
            </w:r>
          </w:p>
        </w:tc>
        <w:tc>
          <w:tcPr>
            <w:tcW w:w="107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0</w:t>
            </w:r>
          </w:p>
        </w:tc>
      </w:tr>
    </w:tbl>
    <w:p>
      <w:pPr>
        <w:spacing w:line="520" w:lineRule="exact"/>
        <w:rPr>
          <w:rFonts w:ascii="仿宋_GB2312" w:hAnsi="仿宋" w:eastAsia="仿宋_GB2312"/>
          <w:b/>
          <w:color w:val="auto"/>
          <w:sz w:val="28"/>
          <w:szCs w:val="28"/>
          <w:highlight w:val="none"/>
        </w:rPr>
      </w:pPr>
    </w:p>
    <w:p>
      <w:pPr>
        <w:numPr>
          <w:ilvl w:val="0"/>
          <w:numId w:val="16"/>
        </w:numPr>
        <w:spacing w:line="52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高级管理层成员基本情况</w:t>
      </w:r>
    </w:p>
    <w:tbl>
      <w:tblPr>
        <w:tblStyle w:val="46"/>
        <w:tblW w:w="9111" w:type="dxa"/>
        <w:tblInd w:w="-7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60"/>
        <w:gridCol w:w="1080"/>
        <w:gridCol w:w="720"/>
        <w:gridCol w:w="1260"/>
        <w:gridCol w:w="1080"/>
        <w:gridCol w:w="37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姓 名</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职 务</w:t>
            </w:r>
          </w:p>
        </w:tc>
        <w:tc>
          <w:tcPr>
            <w:tcW w:w="7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性别</w:t>
            </w:r>
          </w:p>
        </w:tc>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出生</w:t>
            </w:r>
          </w:p>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年月</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从业</w:t>
            </w:r>
          </w:p>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年限</w:t>
            </w:r>
          </w:p>
        </w:tc>
        <w:tc>
          <w:tcPr>
            <w:tcW w:w="371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分管工作范围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邹树辉</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理事长</w:t>
            </w:r>
          </w:p>
        </w:tc>
        <w:tc>
          <w:tcPr>
            <w:tcW w:w="7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1973.6</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val="en-US" w:eastAsia="zh-CN"/>
              </w:rPr>
              <w:t>2</w:t>
            </w:r>
          </w:p>
        </w:tc>
        <w:tc>
          <w:tcPr>
            <w:tcW w:w="371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主持全面工作，负责理事会工作，分管党群工作部及人事工作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吴声远</w:t>
            </w:r>
          </w:p>
          <w:p>
            <w:pPr>
              <w:pStyle w:val="2"/>
              <w:rPr>
                <w:rFonts w:hint="eastAsia" w:ascii="仿宋_GB2312" w:hAnsi="仿宋_GB2312" w:eastAsia="仿宋_GB2312" w:cs="仿宋_GB2312"/>
                <w:color w:val="auto"/>
                <w:sz w:val="24"/>
                <w:szCs w:val="24"/>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主任</w:t>
            </w:r>
          </w:p>
        </w:tc>
        <w:tc>
          <w:tcPr>
            <w:tcW w:w="7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1985.08</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17</w:t>
            </w:r>
          </w:p>
        </w:tc>
        <w:tc>
          <w:tcPr>
            <w:tcW w:w="371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负责经营班子工作，分管合规与风险管理部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ind w:firstLine="240" w:firstLineChars="100"/>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邓斐云</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监事长</w:t>
            </w:r>
          </w:p>
        </w:tc>
        <w:tc>
          <w:tcPr>
            <w:tcW w:w="7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1974.11</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32</w:t>
            </w:r>
          </w:p>
        </w:tc>
        <w:tc>
          <w:tcPr>
            <w:tcW w:w="371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负责纪检、监事会、精神文明、工会、共青团、妇联、福农驿站工作，分管审计部（纪委办公室）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谢婧</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副主任</w:t>
            </w:r>
          </w:p>
        </w:tc>
        <w:tc>
          <w:tcPr>
            <w:tcW w:w="7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女</w:t>
            </w:r>
          </w:p>
        </w:tc>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1986.10</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14</w:t>
            </w:r>
          </w:p>
        </w:tc>
        <w:tc>
          <w:tcPr>
            <w:tcW w:w="371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分管普惠金融部、财务会计部、信息科技部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曾绍宇</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副主任</w:t>
            </w:r>
          </w:p>
        </w:tc>
        <w:tc>
          <w:tcPr>
            <w:tcW w:w="72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男</w:t>
            </w:r>
          </w:p>
        </w:tc>
        <w:tc>
          <w:tcPr>
            <w:tcW w:w="126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1987.01</w:t>
            </w:r>
          </w:p>
        </w:tc>
        <w:tc>
          <w:tcPr>
            <w:tcW w:w="108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13</w:t>
            </w:r>
          </w:p>
        </w:tc>
        <w:tc>
          <w:tcPr>
            <w:tcW w:w="371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分管综合管理部、运营管理部、金融市场部、安全保卫部</w:t>
            </w:r>
          </w:p>
        </w:tc>
      </w:tr>
      <w:bookmarkEnd w:id="5"/>
    </w:tbl>
    <w:p>
      <w:pPr>
        <w:spacing w:line="520" w:lineRule="exact"/>
        <w:ind w:firstLine="640" w:firstLineChars="200"/>
        <w:rPr>
          <w:rFonts w:ascii="黑体" w:hAnsi="黑体" w:eastAsia="黑体"/>
          <w:color w:val="auto"/>
          <w:sz w:val="32"/>
          <w:szCs w:val="32"/>
          <w:highlight w:val="none"/>
        </w:rPr>
      </w:pPr>
    </w:p>
    <w:p>
      <w:pPr>
        <w:numPr>
          <w:ilvl w:val="0"/>
          <w:numId w:val="16"/>
        </w:numPr>
        <w:spacing w:line="52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报告期内理事、监事、高级管理人员变动情况</w:t>
      </w:r>
    </w:p>
    <w:p>
      <w:pPr>
        <w:spacing w:line="520" w:lineRule="exact"/>
        <w:ind w:firstLine="642" w:firstLineChars="200"/>
        <w:rPr>
          <w:rFonts w:ascii="仿宋_GB2312" w:eastAsia="仿宋_GB2312"/>
          <w:snapToGrid w:val="0"/>
          <w:color w:val="auto"/>
          <w:kern w:val="0"/>
          <w:sz w:val="32"/>
          <w:szCs w:val="32"/>
          <w:highlight w:val="none"/>
        </w:rPr>
      </w:pPr>
      <w:r>
        <w:rPr>
          <w:rFonts w:hint="eastAsia" w:ascii="楷体_GB2312" w:eastAsia="楷体_GB2312"/>
          <w:b/>
          <w:snapToGrid w:val="0"/>
          <w:color w:val="auto"/>
          <w:kern w:val="0"/>
          <w:sz w:val="32"/>
          <w:szCs w:val="32"/>
          <w:highlight w:val="none"/>
        </w:rPr>
        <w:t>（一）理、监事成员变动调整：</w:t>
      </w:r>
      <w:r>
        <w:rPr>
          <w:rFonts w:hint="eastAsia" w:ascii="仿宋_GB2312" w:eastAsia="仿宋_GB2312"/>
          <w:snapToGrid w:val="0"/>
          <w:color w:val="auto"/>
          <w:kern w:val="0"/>
          <w:sz w:val="32"/>
          <w:szCs w:val="32"/>
          <w:highlight w:val="none"/>
        </w:rPr>
        <w:t>202</w:t>
      </w:r>
      <w:r>
        <w:rPr>
          <w:rFonts w:hint="eastAsia" w:ascii="仿宋_GB2312" w:eastAsia="仿宋_GB2312"/>
          <w:snapToGrid w:val="0"/>
          <w:color w:val="auto"/>
          <w:kern w:val="0"/>
          <w:sz w:val="32"/>
          <w:szCs w:val="32"/>
          <w:highlight w:val="none"/>
          <w:lang w:val="en-US" w:eastAsia="zh-CN"/>
        </w:rPr>
        <w:t>4</w:t>
      </w:r>
      <w:r>
        <w:rPr>
          <w:rFonts w:hint="eastAsia" w:ascii="仿宋_GB2312" w:eastAsia="仿宋_GB2312"/>
          <w:snapToGrid w:val="0"/>
          <w:color w:val="auto"/>
          <w:kern w:val="0"/>
          <w:sz w:val="32"/>
          <w:szCs w:val="32"/>
          <w:highlight w:val="none"/>
        </w:rPr>
        <w:t>年</w:t>
      </w:r>
      <w:r>
        <w:rPr>
          <w:rFonts w:hint="eastAsia" w:ascii="仿宋_GB2312" w:eastAsia="仿宋_GB2312"/>
          <w:snapToGrid w:val="0"/>
          <w:color w:val="auto"/>
          <w:kern w:val="0"/>
          <w:sz w:val="32"/>
          <w:szCs w:val="32"/>
          <w:highlight w:val="none"/>
          <w:lang w:eastAsia="zh-CN"/>
        </w:rPr>
        <w:t>张东龙</w:t>
      </w:r>
      <w:r>
        <w:rPr>
          <w:rFonts w:hint="eastAsia" w:ascii="仿宋_GB2312" w:eastAsia="仿宋_GB2312"/>
          <w:snapToGrid w:val="0"/>
          <w:color w:val="auto"/>
          <w:kern w:val="0"/>
          <w:sz w:val="32"/>
          <w:szCs w:val="32"/>
          <w:highlight w:val="none"/>
        </w:rPr>
        <w:t>因</w:t>
      </w:r>
      <w:r>
        <w:rPr>
          <w:rFonts w:hint="eastAsia" w:ascii="仿宋_GB2312" w:eastAsia="仿宋_GB2312"/>
          <w:snapToGrid w:val="0"/>
          <w:color w:val="auto"/>
          <w:kern w:val="0"/>
          <w:sz w:val="32"/>
          <w:szCs w:val="32"/>
          <w:highlight w:val="none"/>
          <w:lang w:eastAsia="zh-CN"/>
        </w:rPr>
        <w:t>职务调整</w:t>
      </w:r>
      <w:r>
        <w:rPr>
          <w:rFonts w:hint="eastAsia" w:ascii="仿宋_GB2312" w:eastAsia="仿宋_GB2312"/>
          <w:snapToGrid w:val="0"/>
          <w:color w:val="auto"/>
          <w:kern w:val="0"/>
          <w:sz w:val="32"/>
          <w:szCs w:val="32"/>
          <w:highlight w:val="none"/>
        </w:rPr>
        <w:t>原因辞去监事职务；新增</w:t>
      </w:r>
      <w:r>
        <w:rPr>
          <w:rFonts w:hint="eastAsia" w:ascii="仿宋_GB2312" w:eastAsia="仿宋_GB2312"/>
          <w:snapToGrid w:val="0"/>
          <w:color w:val="auto"/>
          <w:kern w:val="0"/>
          <w:sz w:val="32"/>
          <w:szCs w:val="32"/>
          <w:highlight w:val="none"/>
          <w:lang w:eastAsia="zh-CN"/>
        </w:rPr>
        <w:t>张礼怀</w:t>
      </w:r>
      <w:r>
        <w:rPr>
          <w:rFonts w:hint="eastAsia" w:ascii="仿宋_GB2312" w:eastAsia="仿宋_GB2312"/>
          <w:snapToGrid w:val="0"/>
          <w:color w:val="auto"/>
          <w:kern w:val="0"/>
          <w:sz w:val="32"/>
          <w:szCs w:val="32"/>
          <w:highlight w:val="none"/>
        </w:rPr>
        <w:t>为监事。</w:t>
      </w:r>
    </w:p>
    <w:p>
      <w:pPr>
        <w:spacing w:line="520" w:lineRule="exact"/>
        <w:ind w:firstLine="642" w:firstLineChars="200"/>
        <w:rPr>
          <w:rFonts w:ascii="仿宋_GB2312" w:eastAsia="仿宋_GB2312"/>
          <w:snapToGrid w:val="0"/>
          <w:color w:val="auto"/>
          <w:kern w:val="0"/>
          <w:sz w:val="32"/>
          <w:szCs w:val="32"/>
          <w:highlight w:val="none"/>
        </w:rPr>
      </w:pPr>
      <w:r>
        <w:rPr>
          <w:rFonts w:hint="eastAsia" w:ascii="楷体_GB2312" w:eastAsia="楷体_GB2312"/>
          <w:b/>
          <w:snapToGrid w:val="0"/>
          <w:color w:val="auto"/>
          <w:kern w:val="0"/>
          <w:sz w:val="32"/>
          <w:szCs w:val="32"/>
          <w:highlight w:val="none"/>
        </w:rPr>
        <w:t>（二）中层人员变动情况：</w:t>
      </w:r>
      <w:r>
        <w:rPr>
          <w:rFonts w:hint="eastAsia" w:ascii="仿宋_GB2312" w:hAnsi="仿宋_GB2312" w:eastAsia="仿宋_GB2312" w:cs="仿宋_GB2312"/>
          <w:b w:val="0"/>
          <w:bCs/>
          <w:snapToGrid w:val="0"/>
          <w:color w:val="auto"/>
          <w:kern w:val="0"/>
          <w:sz w:val="32"/>
          <w:szCs w:val="32"/>
          <w:highlight w:val="none"/>
          <w:lang w:val="en-US" w:eastAsia="zh-CN"/>
        </w:rPr>
        <w:t>2</w:t>
      </w:r>
      <w:r>
        <w:rPr>
          <w:rFonts w:hint="eastAsia" w:ascii="仿宋_GB2312" w:hAnsi="仿宋_GB2312" w:eastAsia="仿宋_GB2312" w:cs="仿宋_GB2312"/>
          <w:snapToGrid w:val="0"/>
          <w:color w:val="auto"/>
          <w:kern w:val="0"/>
          <w:sz w:val="32"/>
          <w:szCs w:val="32"/>
          <w:highlight w:val="none"/>
        </w:rPr>
        <w:t>02</w:t>
      </w:r>
      <w:r>
        <w:rPr>
          <w:rFonts w:hint="eastAsia" w:ascii="仿宋_GB2312" w:hAnsi="仿宋_GB2312" w:eastAsia="仿宋_GB2312" w:cs="仿宋_GB2312"/>
          <w:snapToGrid w:val="0"/>
          <w:color w:val="auto"/>
          <w:kern w:val="0"/>
          <w:sz w:val="32"/>
          <w:szCs w:val="32"/>
          <w:highlight w:val="none"/>
          <w:lang w:val="en-US" w:eastAsia="zh-CN"/>
        </w:rPr>
        <w:t>4</w:t>
      </w:r>
      <w:r>
        <w:rPr>
          <w:rFonts w:hint="eastAsia" w:ascii="仿宋_GB2312" w:eastAsia="仿宋_GB2312"/>
          <w:snapToGrid w:val="0"/>
          <w:color w:val="auto"/>
          <w:kern w:val="0"/>
          <w:sz w:val="32"/>
          <w:szCs w:val="32"/>
          <w:highlight w:val="none"/>
        </w:rPr>
        <w:t>年度，</w:t>
      </w:r>
      <w:r>
        <w:rPr>
          <w:rFonts w:hint="eastAsia" w:ascii="仿宋_GB2312" w:eastAsia="仿宋_GB2312"/>
          <w:snapToGrid w:val="0"/>
          <w:color w:val="auto"/>
          <w:kern w:val="0"/>
          <w:sz w:val="32"/>
          <w:szCs w:val="32"/>
          <w:highlight w:val="none"/>
          <w:lang w:eastAsia="zh-CN"/>
        </w:rPr>
        <w:t>本社</w:t>
      </w:r>
      <w:r>
        <w:rPr>
          <w:rFonts w:hint="eastAsia" w:ascii="仿宋_GB2312" w:eastAsia="仿宋_GB2312"/>
          <w:snapToGrid w:val="0"/>
          <w:color w:val="auto"/>
          <w:kern w:val="0"/>
          <w:sz w:val="32"/>
          <w:szCs w:val="32"/>
          <w:highlight w:val="none"/>
        </w:rPr>
        <w:t>提任中层干部</w:t>
      </w:r>
      <w:r>
        <w:rPr>
          <w:rFonts w:hint="eastAsia" w:ascii="仿宋_GB2312" w:eastAsia="仿宋_GB2312"/>
          <w:snapToGrid w:val="0"/>
          <w:color w:val="auto"/>
          <w:kern w:val="0"/>
          <w:sz w:val="32"/>
          <w:szCs w:val="32"/>
          <w:highlight w:val="none"/>
          <w:lang w:val="en-US" w:eastAsia="zh-CN"/>
        </w:rPr>
        <w:t>9</w:t>
      </w:r>
      <w:r>
        <w:rPr>
          <w:rFonts w:hint="eastAsia" w:ascii="仿宋_GB2312" w:eastAsia="仿宋_GB2312"/>
          <w:snapToGrid w:val="0"/>
          <w:color w:val="auto"/>
          <w:kern w:val="0"/>
          <w:sz w:val="32"/>
          <w:szCs w:val="32"/>
          <w:highlight w:val="none"/>
        </w:rPr>
        <w:t>人，分别是</w:t>
      </w:r>
      <w:r>
        <w:rPr>
          <w:rFonts w:hint="eastAsia" w:ascii="仿宋_GB2312" w:eastAsia="仿宋_GB2312"/>
          <w:snapToGrid w:val="0"/>
          <w:color w:val="auto"/>
          <w:kern w:val="0"/>
          <w:sz w:val="32"/>
          <w:szCs w:val="32"/>
          <w:highlight w:val="none"/>
          <w:lang w:val="en-US" w:eastAsia="zh-CN"/>
        </w:rPr>
        <w:t>罗倩由财会运营部副经理提任为财务会计部、金融市场部经理、陈沼华由城北社</w:t>
      </w:r>
      <w:r>
        <w:rPr>
          <w:rFonts w:hint="eastAsia" w:ascii="仿宋_GB2312" w:eastAsia="仿宋_GB2312"/>
          <w:snapToGrid w:val="0"/>
          <w:color w:val="auto"/>
          <w:kern w:val="0"/>
          <w:sz w:val="32"/>
          <w:szCs w:val="32"/>
          <w:highlight w:val="none"/>
        </w:rPr>
        <w:t>主任（中层副职职级）</w:t>
      </w:r>
      <w:r>
        <w:rPr>
          <w:rFonts w:hint="eastAsia" w:ascii="仿宋_GB2312" w:eastAsia="仿宋_GB2312"/>
          <w:snapToGrid w:val="0"/>
          <w:color w:val="auto"/>
          <w:kern w:val="0"/>
          <w:sz w:val="32"/>
          <w:szCs w:val="32"/>
          <w:highlight w:val="none"/>
          <w:lang w:val="en-US" w:eastAsia="zh-CN"/>
        </w:rPr>
        <w:t>提任为城北社主任、吴亚奇由人力资源部经理（中层副职职级）提任为党群工作部副经理（中层正职职级）、邓永桂由</w:t>
      </w:r>
      <w:r>
        <w:rPr>
          <w:rFonts w:hint="eastAsia" w:ascii="仿宋_GB2312" w:eastAsia="仿宋_GB2312"/>
          <w:snapToGrid w:val="0"/>
          <w:color w:val="auto"/>
          <w:kern w:val="0"/>
          <w:sz w:val="32"/>
          <w:szCs w:val="32"/>
          <w:highlight w:val="none"/>
        </w:rPr>
        <w:t>综合管理部兼党群工作部副主任</w:t>
      </w:r>
      <w:r>
        <w:rPr>
          <w:rFonts w:hint="eastAsia" w:ascii="仿宋_GB2312" w:eastAsia="仿宋_GB2312"/>
          <w:snapToGrid w:val="0"/>
          <w:color w:val="auto"/>
          <w:kern w:val="0"/>
          <w:sz w:val="32"/>
          <w:szCs w:val="32"/>
          <w:highlight w:val="none"/>
          <w:lang w:val="en-US" w:eastAsia="zh-CN"/>
        </w:rPr>
        <w:t>提任为塘前社主任（中层副职职级）、李烽由</w:t>
      </w:r>
      <w:r>
        <w:rPr>
          <w:rFonts w:hint="eastAsia" w:ascii="仿宋_GB2312" w:eastAsia="仿宋_GB2312"/>
          <w:snapToGrid w:val="0"/>
          <w:color w:val="auto"/>
          <w:kern w:val="0"/>
          <w:sz w:val="32"/>
          <w:szCs w:val="32"/>
          <w:highlight w:val="none"/>
        </w:rPr>
        <w:t>营业部副主任兼客户经理</w:t>
      </w:r>
      <w:r>
        <w:rPr>
          <w:rFonts w:hint="eastAsia" w:ascii="仿宋_GB2312" w:eastAsia="仿宋_GB2312"/>
          <w:snapToGrid w:val="0"/>
          <w:color w:val="auto"/>
          <w:kern w:val="0"/>
          <w:sz w:val="32"/>
          <w:szCs w:val="32"/>
          <w:highlight w:val="none"/>
          <w:lang w:val="en-US" w:eastAsia="zh-CN"/>
        </w:rPr>
        <w:t>提任为赖源社主任（中层副职职级）、黄修琴由综合管理部综合岗提任为综合管理部副经理、邹佳泓由普惠金融部综合岗提任为普惠金融部副经理、江健由营业部客户经理提任为营业部副主任兼客户经理、吴倩由莲峰社副主任提任为莲花社主任。平行调整中层干部10人，江茂笙由姑田社主任调整为文亨社主任、吴昭明由塘前社主任调整为姑田社主任、沈家彬由莲花社主任调整为营业部主任、江锦由莲花社主任调整为合规与风险管理部经理、江建涛由赖源社主任调整为曲溪社主任、林律由曲溪社主任调整为朋口社主任、黄桂萍由金融市场部经理调整为运营管理部经理、张婧由合规与风险管理部副经理调整为运营管理部副经理再调整为合规与风险管理部副经理、林锋华由普惠金融部副经理调整为审计部副经理、罗骞由审计部副经理调整为合规与风险管理部副经理。中层退出4人，童章华由财会运营部经理调整为金融市场部综合岗、罗华太由合规与风险管理部经理调整为普惠金融部综合岗、项广勋由朋口社主任调整为城西社客户经理、黄小霞由营业部副主任兼主办会计调整为财务会计部综合岗。中层淘汰人员2人，罗永根由文亨社主任调整为莲花社柜员、沈丽琴由文亨社副主任兼客户经理调整为文亨社客户经理。</w:t>
      </w:r>
    </w:p>
    <w:p>
      <w:pPr>
        <w:spacing w:line="52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五、员工情况</w:t>
      </w:r>
    </w:p>
    <w:p>
      <w:pPr>
        <w:spacing w:line="520" w:lineRule="exact"/>
        <w:ind w:firstLine="640" w:firstLineChars="200"/>
        <w:rPr>
          <w:color w:val="auto"/>
          <w:sz w:val="32"/>
          <w:szCs w:val="32"/>
          <w:highlight w:val="none"/>
        </w:rPr>
      </w:pPr>
      <w:r>
        <w:rPr>
          <w:rFonts w:hint="eastAsia" w:ascii="仿宋_GB2312" w:eastAsia="仿宋_GB2312"/>
          <w:snapToGrid w:val="0"/>
          <w:color w:val="auto"/>
          <w:kern w:val="0"/>
          <w:sz w:val="32"/>
          <w:szCs w:val="32"/>
          <w:highlight w:val="none"/>
        </w:rPr>
        <w:t>202</w:t>
      </w:r>
      <w:r>
        <w:rPr>
          <w:rFonts w:hint="eastAsia" w:ascii="仿宋_GB2312" w:eastAsia="仿宋_GB2312"/>
          <w:snapToGrid w:val="0"/>
          <w:color w:val="auto"/>
          <w:kern w:val="0"/>
          <w:sz w:val="32"/>
          <w:szCs w:val="32"/>
          <w:highlight w:val="none"/>
          <w:lang w:val="en-US" w:eastAsia="zh-CN"/>
        </w:rPr>
        <w:t>4</w:t>
      </w:r>
      <w:r>
        <w:rPr>
          <w:rFonts w:hint="eastAsia" w:ascii="仿宋_GB2312" w:eastAsia="仿宋_GB2312"/>
          <w:snapToGrid w:val="0"/>
          <w:color w:val="auto"/>
          <w:kern w:val="0"/>
          <w:sz w:val="32"/>
          <w:szCs w:val="32"/>
          <w:highlight w:val="none"/>
        </w:rPr>
        <w:t>年度，</w:t>
      </w:r>
      <w:r>
        <w:rPr>
          <w:rFonts w:hint="eastAsia" w:ascii="仿宋_GB2312" w:eastAsia="仿宋_GB2312"/>
          <w:snapToGrid w:val="0"/>
          <w:color w:val="auto"/>
          <w:kern w:val="0"/>
          <w:sz w:val="32"/>
          <w:szCs w:val="32"/>
          <w:highlight w:val="none"/>
          <w:lang w:eastAsia="zh-CN"/>
        </w:rPr>
        <w:t>本社</w:t>
      </w:r>
      <w:r>
        <w:rPr>
          <w:rFonts w:hint="eastAsia" w:ascii="仿宋_GB2312" w:eastAsia="仿宋_GB2312"/>
          <w:snapToGrid w:val="0"/>
          <w:color w:val="auto"/>
          <w:kern w:val="0"/>
          <w:sz w:val="32"/>
          <w:szCs w:val="32"/>
          <w:highlight w:val="none"/>
        </w:rPr>
        <w:t>在岗正式员工167人，劳务派遣人员1</w:t>
      </w:r>
      <w:r>
        <w:rPr>
          <w:rFonts w:hint="eastAsia" w:ascii="仿宋_GB2312" w:eastAsia="仿宋_GB2312"/>
          <w:snapToGrid w:val="0"/>
          <w:color w:val="auto"/>
          <w:kern w:val="0"/>
          <w:sz w:val="32"/>
          <w:szCs w:val="32"/>
          <w:highlight w:val="none"/>
          <w:lang w:val="en-US" w:eastAsia="zh-CN"/>
        </w:rPr>
        <w:t>3</w:t>
      </w:r>
      <w:r>
        <w:rPr>
          <w:rFonts w:hint="eastAsia" w:ascii="仿宋_GB2312" w:eastAsia="仿宋_GB2312"/>
          <w:snapToGrid w:val="0"/>
          <w:color w:val="auto"/>
          <w:kern w:val="0"/>
          <w:sz w:val="32"/>
          <w:szCs w:val="32"/>
          <w:highlight w:val="none"/>
        </w:rPr>
        <w:t>人，其中：中层以上管理人员</w:t>
      </w:r>
      <w:r>
        <w:rPr>
          <w:rFonts w:hint="eastAsia" w:ascii="仿宋_GB2312" w:eastAsia="仿宋_GB2312"/>
          <w:snapToGrid w:val="0"/>
          <w:color w:val="auto"/>
          <w:kern w:val="0"/>
          <w:sz w:val="32"/>
          <w:szCs w:val="32"/>
          <w:highlight w:val="none"/>
          <w:lang w:val="en-US" w:eastAsia="zh-CN"/>
        </w:rPr>
        <w:t>42</w:t>
      </w:r>
      <w:r>
        <w:rPr>
          <w:rFonts w:hint="eastAsia" w:ascii="仿宋_GB2312" w:eastAsia="仿宋_GB2312"/>
          <w:snapToGrid w:val="0"/>
          <w:color w:val="auto"/>
          <w:kern w:val="0"/>
          <w:sz w:val="32"/>
          <w:szCs w:val="32"/>
          <w:highlight w:val="none"/>
        </w:rPr>
        <w:t>人、占</w:t>
      </w:r>
      <w:r>
        <w:rPr>
          <w:rFonts w:hint="eastAsia" w:ascii="仿宋_GB2312" w:eastAsia="仿宋_GB2312"/>
          <w:snapToGrid w:val="0"/>
          <w:color w:val="auto"/>
          <w:kern w:val="0"/>
          <w:sz w:val="32"/>
          <w:szCs w:val="32"/>
          <w:highlight w:val="none"/>
          <w:lang w:val="en-US" w:eastAsia="zh-CN"/>
        </w:rPr>
        <w:t>25.15</w:t>
      </w:r>
      <w:r>
        <w:rPr>
          <w:rFonts w:hint="eastAsia" w:ascii="仿宋_GB2312" w:eastAsia="仿宋_GB2312"/>
          <w:snapToGrid w:val="0"/>
          <w:color w:val="auto"/>
          <w:kern w:val="0"/>
          <w:sz w:val="32"/>
          <w:szCs w:val="32"/>
          <w:highlight w:val="none"/>
        </w:rPr>
        <w:t>%；按学历划分，</w:t>
      </w:r>
      <w:r>
        <w:rPr>
          <w:rFonts w:hint="eastAsia" w:ascii="仿宋_GB2312" w:hAnsi="仿宋_GB2312" w:eastAsia="仿宋_GB2312" w:cs="仿宋_GB2312"/>
          <w:color w:val="auto"/>
          <w:sz w:val="32"/>
          <w:szCs w:val="32"/>
          <w:highlight w:val="none"/>
        </w:rPr>
        <w:t>大专以上学历的职工16</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人，占比</w:t>
      </w:r>
      <w:r>
        <w:rPr>
          <w:rFonts w:hint="eastAsia" w:ascii="仿宋_GB2312" w:hAnsi="仿宋" w:eastAsia="仿宋_GB2312"/>
          <w:color w:val="auto"/>
          <w:sz w:val="32"/>
          <w:szCs w:val="32"/>
          <w:highlight w:val="none"/>
          <w:lang w:val="en-US" w:eastAsia="zh-CN"/>
        </w:rPr>
        <w:t>97.60</w:t>
      </w:r>
      <w:r>
        <w:rPr>
          <w:rFonts w:hint="eastAsia" w:ascii="仿宋_GB2312" w:hAnsi="仿宋" w:eastAsia="仿宋_GB2312"/>
          <w:color w:val="auto"/>
          <w:sz w:val="32"/>
          <w:szCs w:val="32"/>
          <w:highlight w:val="none"/>
        </w:rPr>
        <w:t>%</w:t>
      </w:r>
      <w:r>
        <w:rPr>
          <w:rFonts w:hint="eastAsia" w:ascii="仿宋_GB2312" w:hAnsi="仿宋_GB2312" w:eastAsia="仿宋_GB2312" w:cs="仿宋_GB2312"/>
          <w:color w:val="auto"/>
          <w:sz w:val="32"/>
          <w:szCs w:val="32"/>
          <w:highlight w:val="none"/>
        </w:rPr>
        <w:t>，中专、高中及以下学历</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人，占比</w:t>
      </w:r>
      <w:r>
        <w:rPr>
          <w:rFonts w:hint="eastAsia" w:ascii="仿宋_GB2312" w:hAnsi="仿宋" w:eastAsia="仿宋_GB2312"/>
          <w:color w:val="auto"/>
          <w:sz w:val="32"/>
          <w:szCs w:val="32"/>
          <w:highlight w:val="none"/>
          <w:lang w:val="en-US" w:eastAsia="zh-CN"/>
        </w:rPr>
        <w:t>2.40</w:t>
      </w:r>
      <w:r>
        <w:rPr>
          <w:rFonts w:hint="eastAsia" w:ascii="仿宋_GB2312" w:hAnsi="仿宋" w:eastAsia="仿宋_GB2312"/>
          <w:color w:val="auto"/>
          <w:sz w:val="32"/>
          <w:szCs w:val="32"/>
          <w:highlight w:val="none"/>
        </w:rPr>
        <w:t>%</w:t>
      </w:r>
      <w:r>
        <w:rPr>
          <w:rFonts w:hint="eastAsia" w:ascii="仿宋_GB2312" w:hAnsi="仿宋_GB2312" w:eastAsia="仿宋_GB2312" w:cs="仿宋_GB2312"/>
          <w:color w:val="auto"/>
          <w:sz w:val="32"/>
          <w:szCs w:val="32"/>
          <w:highlight w:val="none"/>
        </w:rPr>
        <w:t>；按年龄划分，50岁（含）以上的有</w:t>
      </w:r>
      <w:r>
        <w:rPr>
          <w:rFonts w:hint="eastAsia" w:ascii="仿宋_GB2312" w:hAnsi="仿宋_GB2312" w:eastAsia="仿宋_GB2312" w:cs="仿宋_GB2312"/>
          <w:color w:val="auto"/>
          <w:sz w:val="32"/>
          <w:szCs w:val="32"/>
          <w:highlight w:val="none"/>
          <w:lang w:val="en-US" w:eastAsia="zh-CN"/>
        </w:rPr>
        <w:t>40</w:t>
      </w:r>
      <w:r>
        <w:rPr>
          <w:rFonts w:hint="eastAsia" w:ascii="仿宋_GB2312" w:hAnsi="仿宋_GB2312" w:eastAsia="仿宋_GB2312" w:cs="仿宋_GB2312"/>
          <w:color w:val="auto"/>
          <w:sz w:val="32"/>
          <w:szCs w:val="32"/>
          <w:highlight w:val="none"/>
        </w:rPr>
        <w:t>人、占比</w:t>
      </w:r>
      <w:r>
        <w:rPr>
          <w:rFonts w:hint="eastAsia" w:ascii="仿宋_GB2312" w:hAnsi="仿宋" w:eastAsia="仿宋_GB2312"/>
          <w:color w:val="auto"/>
          <w:sz w:val="32"/>
          <w:szCs w:val="32"/>
          <w:highlight w:val="none"/>
        </w:rPr>
        <w:t>23.</w:t>
      </w:r>
      <w:r>
        <w:rPr>
          <w:rFonts w:hint="eastAsia" w:ascii="仿宋_GB2312" w:hAnsi="仿宋" w:eastAsia="仿宋_GB2312"/>
          <w:color w:val="auto"/>
          <w:sz w:val="32"/>
          <w:szCs w:val="32"/>
          <w:highlight w:val="none"/>
          <w:lang w:val="en-US" w:eastAsia="zh-CN"/>
        </w:rPr>
        <w:t>95</w:t>
      </w:r>
      <w:r>
        <w:rPr>
          <w:rFonts w:hint="eastAsia" w:ascii="仿宋_GB2312" w:hAnsi="仿宋" w:eastAsia="仿宋_GB2312"/>
          <w:color w:val="auto"/>
          <w:sz w:val="32"/>
          <w:szCs w:val="32"/>
          <w:highlight w:val="none"/>
        </w:rPr>
        <w:t>%</w:t>
      </w:r>
      <w:r>
        <w:rPr>
          <w:rFonts w:hint="eastAsia" w:ascii="仿宋_GB2312" w:hAnsi="仿宋_GB2312" w:eastAsia="仿宋_GB2312" w:cs="仿宋_GB2312"/>
          <w:color w:val="auto"/>
          <w:sz w:val="32"/>
          <w:szCs w:val="32"/>
          <w:highlight w:val="none"/>
        </w:rPr>
        <w:t>，30岁（含）至50岁的有</w:t>
      </w:r>
      <w:r>
        <w:rPr>
          <w:rFonts w:hint="eastAsia" w:ascii="仿宋_GB2312" w:hAnsi="仿宋" w:eastAsia="仿宋_GB2312"/>
          <w:color w:val="auto"/>
          <w:sz w:val="32"/>
          <w:szCs w:val="32"/>
          <w:highlight w:val="none"/>
          <w:lang w:val="en-US" w:eastAsia="zh-CN"/>
        </w:rPr>
        <w:t>90</w:t>
      </w:r>
      <w:r>
        <w:rPr>
          <w:rFonts w:hint="eastAsia" w:ascii="仿宋_GB2312" w:hAnsi="仿宋_GB2312" w:eastAsia="仿宋_GB2312" w:cs="仿宋_GB2312"/>
          <w:color w:val="auto"/>
          <w:sz w:val="32"/>
          <w:szCs w:val="32"/>
          <w:highlight w:val="none"/>
        </w:rPr>
        <w:t>人、占比</w:t>
      </w:r>
      <w:r>
        <w:rPr>
          <w:rFonts w:hint="eastAsia" w:ascii="仿宋_GB2312" w:hAnsi="仿宋" w:eastAsia="仿宋_GB2312"/>
          <w:color w:val="auto"/>
          <w:sz w:val="32"/>
          <w:szCs w:val="32"/>
          <w:highlight w:val="none"/>
          <w:lang w:val="en-US" w:eastAsia="zh-CN"/>
        </w:rPr>
        <w:t>53.89</w:t>
      </w:r>
      <w:r>
        <w:rPr>
          <w:rFonts w:hint="eastAsia" w:ascii="仿宋_GB2312" w:hAnsi="仿宋_GB2312" w:eastAsia="仿宋_GB2312" w:cs="仿宋_GB2312"/>
          <w:color w:val="auto"/>
          <w:sz w:val="32"/>
          <w:szCs w:val="32"/>
          <w:highlight w:val="none"/>
        </w:rPr>
        <w:t>%，30岁以下的有</w:t>
      </w:r>
      <w:r>
        <w:rPr>
          <w:rFonts w:hint="eastAsia" w:ascii="仿宋_GB2312" w:hAnsi="仿宋" w:eastAsia="仿宋_GB2312"/>
          <w:color w:val="auto"/>
          <w:sz w:val="32"/>
          <w:szCs w:val="32"/>
          <w:highlight w:val="none"/>
          <w:lang w:val="en-US" w:eastAsia="zh-CN"/>
        </w:rPr>
        <w:t>37</w:t>
      </w:r>
      <w:r>
        <w:rPr>
          <w:rFonts w:hint="eastAsia" w:ascii="仿宋_GB2312" w:hAnsi="仿宋_GB2312" w:eastAsia="仿宋_GB2312" w:cs="仿宋_GB2312"/>
          <w:color w:val="auto"/>
          <w:sz w:val="32"/>
          <w:szCs w:val="32"/>
          <w:highlight w:val="none"/>
        </w:rPr>
        <w:t>人、占比</w:t>
      </w:r>
      <w:r>
        <w:rPr>
          <w:rFonts w:hint="eastAsia" w:ascii="仿宋_GB2312" w:hAnsi="仿宋" w:eastAsia="仿宋_GB2312"/>
          <w:color w:val="auto"/>
          <w:sz w:val="32"/>
          <w:szCs w:val="32"/>
          <w:highlight w:val="none"/>
          <w:lang w:val="en-US" w:eastAsia="zh-CN"/>
        </w:rPr>
        <w:t>22.16</w:t>
      </w:r>
      <w:r>
        <w:rPr>
          <w:rFonts w:hint="eastAsia" w:ascii="仿宋_GB2312" w:hAnsi="仿宋_GB2312" w:eastAsia="仿宋_GB2312" w:cs="仿宋_GB2312"/>
          <w:color w:val="auto"/>
          <w:sz w:val="32"/>
          <w:szCs w:val="32"/>
          <w:highlight w:val="none"/>
        </w:rPr>
        <w:t>%。</w:t>
      </w:r>
    </w:p>
    <w:p>
      <w:pPr>
        <w:numPr>
          <w:ilvl w:val="0"/>
          <w:numId w:val="17"/>
        </w:numPr>
        <w:spacing w:line="52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分支机构基本情况（单位：万元）</w:t>
      </w:r>
    </w:p>
    <w:p>
      <w:pPr>
        <w:pStyle w:val="2"/>
        <w:rPr>
          <w:color w:val="auto"/>
          <w:highlight w:val="none"/>
        </w:rPr>
      </w:pPr>
    </w:p>
    <w:tbl>
      <w:tblPr>
        <w:tblStyle w:val="46"/>
        <w:tblW w:w="8390" w:type="dxa"/>
        <w:tblInd w:w="4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692"/>
        <w:gridCol w:w="2518"/>
        <w:gridCol w:w="709"/>
        <w:gridCol w:w="141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序号</w:t>
            </w:r>
          </w:p>
        </w:tc>
        <w:tc>
          <w:tcPr>
            <w:tcW w:w="1692" w:type="dxa"/>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机构名称</w:t>
            </w:r>
          </w:p>
        </w:tc>
        <w:tc>
          <w:tcPr>
            <w:tcW w:w="2518" w:type="dxa"/>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营业地址</w:t>
            </w:r>
          </w:p>
        </w:tc>
        <w:tc>
          <w:tcPr>
            <w:tcW w:w="709" w:type="dxa"/>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员工数</w:t>
            </w:r>
          </w:p>
        </w:tc>
        <w:tc>
          <w:tcPr>
            <w:tcW w:w="1417" w:type="dxa"/>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存款总额</w:t>
            </w:r>
          </w:p>
        </w:tc>
        <w:tc>
          <w:tcPr>
            <w:tcW w:w="1418" w:type="dxa"/>
            <w:vAlign w:val="center"/>
          </w:tcPr>
          <w:p>
            <w:pPr>
              <w:spacing w:line="520" w:lineRule="exact"/>
              <w:jc w:val="center"/>
              <w:rPr>
                <w:rFonts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贷款总额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营业部</w:t>
            </w:r>
          </w:p>
          <w:p>
            <w:pPr>
              <w:pStyle w:val="2"/>
              <w:jc w:val="center"/>
              <w:rPr>
                <w:rFonts w:hint="eastAsia" w:ascii="仿宋_GB2312" w:hAnsi="仿宋_GB2312" w:eastAsia="仿宋_GB2312" w:cs="仿宋_GB2312"/>
                <w:color w:val="auto"/>
                <w:sz w:val="24"/>
                <w:szCs w:val="24"/>
                <w:highlight w:val="none"/>
              </w:rPr>
            </w:pP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福建省连城县莲峰镇北大东路64号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11</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109790</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100891.02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p>
            <w:pPr>
              <w:spacing w:line="520" w:lineRule="exact"/>
              <w:jc w:val="both"/>
              <w:rPr>
                <w:highlight w:val="none"/>
              </w:rPr>
            </w:pPr>
          </w:p>
          <w:p>
            <w:pPr>
              <w:pStyle w:val="2"/>
              <w:rPr>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城北信用社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福建省连城县城关北大中路文川商厦</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6</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36565</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30229.21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both"/>
              <w:rPr>
                <w:color w:val="auto"/>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p>
          <w:p>
            <w:pPr>
              <w:pStyle w:val="2"/>
              <w:rPr>
                <w:rFonts w:ascii="仿宋_GB2312" w:hAnsi="仿宋_GB2312" w:eastAsia="仿宋_GB2312" w:cs="仿宋_GB2312"/>
                <w:color w:val="auto"/>
                <w:sz w:val="24"/>
                <w:szCs w:val="24"/>
                <w:highlight w:val="none"/>
              </w:rPr>
            </w:pPr>
          </w:p>
          <w:p>
            <w:pPr>
              <w:pStyle w:val="2"/>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城郊信用社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福建省连城县连宁南路72号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6</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28375</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31842.7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w:t>
            </w:r>
          </w:p>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城西信用社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福建省连城县城关南门小区A幢</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40120</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29466.29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both"/>
              <w:rPr>
                <w:color w:val="auto"/>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w:t>
            </w:r>
          </w:p>
          <w:p>
            <w:pPr>
              <w:spacing w:line="520" w:lineRule="exact"/>
              <w:jc w:val="center"/>
              <w:rPr>
                <w:color w:val="auto"/>
                <w:highlight w:val="none"/>
              </w:rPr>
            </w:pPr>
          </w:p>
          <w:p>
            <w:pPr>
              <w:pStyle w:val="2"/>
              <w:rPr>
                <w:color w:val="auto"/>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庙前信用社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福建省连城县庙前镇庙兴路149号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39697</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36445.04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both"/>
              <w:rPr>
                <w:rFonts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w:t>
            </w:r>
          </w:p>
          <w:p>
            <w:pPr>
              <w:pStyle w:val="2"/>
              <w:rPr>
                <w:color w:val="auto"/>
                <w:highlight w:val="none"/>
              </w:rPr>
            </w:pPr>
          </w:p>
          <w:p>
            <w:pPr>
              <w:spacing w:line="520" w:lineRule="exact"/>
              <w:jc w:val="center"/>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新泉信用社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福建省连城县新泉镇新泉村新兴南路</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7</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31696</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23587.3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color w:val="auto"/>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w:t>
            </w:r>
          </w:p>
          <w:p>
            <w:pPr>
              <w:pStyle w:val="2"/>
              <w:rPr>
                <w:rFonts w:ascii="仿宋_GB2312" w:hAnsi="仿宋_GB2312" w:eastAsia="仿宋_GB2312" w:cs="仿宋_GB2312"/>
                <w:color w:val="auto"/>
                <w:sz w:val="24"/>
                <w:szCs w:val="24"/>
                <w:highlight w:val="none"/>
              </w:rPr>
            </w:pPr>
          </w:p>
          <w:p>
            <w:pPr>
              <w:pStyle w:val="2"/>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朋口信用社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福建省连城县朋口镇朋兴路1号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35691</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34873.34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color w:val="auto"/>
                <w:highlight w:val="none"/>
              </w:rPr>
            </w:pPr>
          </w:p>
          <w:p>
            <w:pPr>
              <w:spacing w:line="520" w:lineRule="exact"/>
              <w:jc w:val="center"/>
              <w:rPr>
                <w:color w:val="auto"/>
                <w:highlight w:val="none"/>
              </w:rPr>
            </w:pPr>
            <w:r>
              <w:rPr>
                <w:rFonts w:hint="eastAsia" w:ascii="仿宋_GB2312" w:hAnsi="仿宋_GB2312" w:eastAsia="仿宋_GB2312" w:cs="仿宋_GB2312"/>
                <w:color w:val="auto"/>
                <w:sz w:val="24"/>
                <w:szCs w:val="24"/>
                <w:highlight w:val="none"/>
              </w:rPr>
              <w:t>8</w:t>
            </w:r>
          </w:p>
          <w:p>
            <w:pPr>
              <w:spacing w:line="520" w:lineRule="exact"/>
              <w:jc w:val="center"/>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莒溪信用社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福建省连城县莒溪镇莒市路100号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43482</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18897.69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color w:val="auto"/>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w:t>
            </w:r>
          </w:p>
          <w:p>
            <w:pPr>
              <w:spacing w:line="520" w:lineRule="exact"/>
              <w:jc w:val="center"/>
              <w:rPr>
                <w:color w:val="auto"/>
                <w:highlight w:val="none"/>
              </w:rPr>
            </w:pPr>
          </w:p>
          <w:p>
            <w:pPr>
              <w:spacing w:line="520" w:lineRule="exact"/>
              <w:jc w:val="center"/>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北团信用社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福建省连城县北团镇山下街</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8</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33445</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18122.57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10</w:t>
            </w:r>
          </w:p>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曲溪信用社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福建省连城县曲溪乡曲溪村曲洋路</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11695</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10323.69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11</w:t>
            </w:r>
          </w:p>
          <w:p>
            <w:pPr>
              <w:spacing w:line="520" w:lineRule="exact"/>
              <w:jc w:val="center"/>
              <w:rPr>
                <w:highlight w:val="none"/>
              </w:rPr>
            </w:pPr>
          </w:p>
          <w:p>
            <w:pPr>
              <w:pStyle w:val="2"/>
              <w:rPr>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四堡信用社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福建省连城县四堡乡务阁村</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5</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44322</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11139.27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12</w:t>
            </w:r>
          </w:p>
          <w:p>
            <w:pPr>
              <w:pStyle w:val="2"/>
              <w:rPr>
                <w:highlight w:val="none"/>
              </w:rPr>
            </w:pPr>
          </w:p>
          <w:p>
            <w:pPr>
              <w:pStyle w:val="2"/>
              <w:rPr>
                <w:highlight w:val="none"/>
              </w:rPr>
            </w:pPr>
          </w:p>
          <w:p>
            <w:pPr>
              <w:pStyle w:val="2"/>
              <w:rPr>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文亨信用社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福建省连城县文亨镇文陂村</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50168</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34485.52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hint="eastAsia"/>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13</w:t>
            </w:r>
          </w:p>
          <w:p>
            <w:pPr>
              <w:spacing w:line="520" w:lineRule="exact"/>
              <w:jc w:val="center"/>
              <w:rPr>
                <w:highlight w:val="none"/>
              </w:rPr>
            </w:pPr>
          </w:p>
          <w:p>
            <w:pPr>
              <w:pStyle w:val="2"/>
              <w:rPr>
                <w:highlight w:val="none"/>
              </w:rPr>
            </w:pPr>
          </w:p>
          <w:p>
            <w:pPr>
              <w:pStyle w:val="2"/>
              <w:rPr>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莲峰信用社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福建省连城县莲峰镇洪山电信大楼1楼3-4店</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17949</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23353.6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14</w:t>
            </w:r>
          </w:p>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莲花信用社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连城县莲峰镇西环中路159号万星电影广场E幢101号、110号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6</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25869</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33440.6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hint="eastAsia"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15</w:t>
            </w:r>
          </w:p>
          <w:p>
            <w:pPr>
              <w:spacing w:line="520" w:lineRule="exact"/>
              <w:jc w:val="center"/>
              <w:rPr>
                <w:rFonts w:hint="eastAsia" w:ascii="仿宋_GB2312" w:hAnsi="仿宋_GB2312" w:eastAsia="仿宋_GB2312" w:cs="仿宋_GB2312"/>
                <w:color w:val="auto"/>
                <w:sz w:val="24"/>
                <w:szCs w:val="24"/>
                <w:highlight w:val="none"/>
              </w:rPr>
            </w:pPr>
          </w:p>
          <w:p>
            <w:pPr>
              <w:spacing w:line="520" w:lineRule="exact"/>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罗坊信用社</w:t>
            </w:r>
          </w:p>
          <w:p>
            <w:pPr>
              <w:pStyle w:val="2"/>
              <w:jc w:val="center"/>
              <w:rPr>
                <w:highlight w:val="none"/>
              </w:rPr>
            </w:pP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福建省连城县罗坊乡屋背山</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5</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17107</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13643.03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highlight w:val="none"/>
              </w:rPr>
            </w:pPr>
          </w:p>
          <w:p>
            <w:pPr>
              <w:spacing w:line="520" w:lineRule="exact"/>
              <w:jc w:val="center"/>
              <w:rPr>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16</w:t>
            </w:r>
          </w:p>
          <w:p>
            <w:pPr>
              <w:spacing w:line="520" w:lineRule="exact"/>
              <w:rPr>
                <w:highlight w:val="none"/>
              </w:rPr>
            </w:pPr>
          </w:p>
          <w:p>
            <w:pPr>
              <w:pStyle w:val="2"/>
              <w:rPr>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姑田信用社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福建省连城县姑田镇下堡村新街23号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9</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33337</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23516.63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rFonts w:hint="eastAsia"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17</w:t>
            </w:r>
          </w:p>
          <w:p>
            <w:pPr>
              <w:spacing w:line="520" w:lineRule="exact"/>
              <w:jc w:val="center"/>
              <w:rPr>
                <w:rFonts w:hint="eastAsia" w:ascii="仿宋_GB2312" w:hAnsi="仿宋_GB2312" w:eastAsia="仿宋_GB2312" w:cs="仿宋_GB2312"/>
                <w:color w:val="auto"/>
                <w:sz w:val="24"/>
                <w:szCs w:val="24"/>
                <w:highlight w:val="none"/>
              </w:rPr>
            </w:pPr>
          </w:p>
          <w:p>
            <w:pPr>
              <w:pStyle w:val="2"/>
              <w:rPr>
                <w:color w:val="auto"/>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宣和信用社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福建省龙岩市连城县宣和镇新曹村曹坊街108-5号</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27449</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9386.7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pPr>
              <w:spacing w:line="520" w:lineRule="exact"/>
              <w:jc w:val="center"/>
              <w:rPr>
                <w:highlight w:val="none"/>
              </w:rPr>
            </w:pPr>
          </w:p>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18</w:t>
            </w:r>
          </w:p>
          <w:p>
            <w:pPr>
              <w:spacing w:line="520" w:lineRule="exact"/>
              <w:jc w:val="center"/>
              <w:rPr>
                <w:highlight w:val="none"/>
              </w:rPr>
            </w:pPr>
          </w:p>
          <w:p>
            <w:pPr>
              <w:spacing w:line="520" w:lineRule="exact"/>
              <w:jc w:val="center"/>
              <w:rPr>
                <w:highlight w:val="none"/>
              </w:rPr>
            </w:pPr>
          </w:p>
          <w:p>
            <w:pPr>
              <w:pStyle w:val="2"/>
              <w:rPr>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塘前信用社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福建省连城县塘前乡塘前村</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11084</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8389.43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trPr>
        <w:tc>
          <w:tcPr>
            <w:tcW w:w="636" w:type="dxa"/>
            <w:vAlign w:val="center"/>
          </w:tcPr>
          <w:p>
            <w:pPr>
              <w:spacing w:line="520" w:lineRule="exact"/>
              <w:jc w:val="center"/>
              <w:rPr>
                <w:rFonts w:ascii="仿宋_GB2312" w:hAnsi="仿宋_GB2312" w:eastAsia="仿宋_GB2312" w:cs="仿宋_GB2312"/>
                <w:color w:val="auto"/>
                <w:sz w:val="24"/>
                <w:szCs w:val="24"/>
                <w:highlight w:val="none"/>
              </w:rPr>
            </w:pP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19</w:t>
            </w:r>
          </w:p>
          <w:p>
            <w:pPr>
              <w:pStyle w:val="2"/>
              <w:rPr>
                <w:rFonts w:ascii="仿宋_GB2312" w:hAnsi="仿宋_GB2312" w:eastAsia="仿宋_GB2312" w:cs="仿宋_GB2312"/>
                <w:color w:val="auto"/>
                <w:sz w:val="24"/>
                <w:szCs w:val="24"/>
                <w:highlight w:val="none"/>
              </w:rPr>
            </w:pPr>
          </w:p>
          <w:p>
            <w:pPr>
              <w:pStyle w:val="2"/>
              <w:rPr>
                <w:rFonts w:ascii="仿宋_GB2312" w:hAnsi="仿宋_GB2312" w:eastAsia="仿宋_GB2312" w:cs="仿宋_GB2312"/>
                <w:color w:val="auto"/>
                <w:sz w:val="24"/>
                <w:szCs w:val="24"/>
                <w:highlight w:val="none"/>
              </w:rPr>
            </w:pPr>
          </w:p>
          <w:p>
            <w:pPr>
              <w:spacing w:line="520" w:lineRule="exact"/>
              <w:rPr>
                <w:rFonts w:ascii="仿宋_GB2312" w:hAnsi="仿宋_GB2312" w:eastAsia="仿宋_GB2312" w:cs="仿宋_GB2312"/>
                <w:color w:val="auto"/>
                <w:sz w:val="24"/>
                <w:szCs w:val="24"/>
                <w:highlight w:val="none"/>
              </w:rPr>
            </w:pPr>
          </w:p>
        </w:tc>
        <w:tc>
          <w:tcPr>
            <w:tcW w:w="1692" w:type="dxa"/>
            <w:vAlign w:val="center"/>
          </w:tcPr>
          <w:p>
            <w:pPr>
              <w:spacing w:line="52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连城县农村信用合作联社</w:t>
            </w:r>
          </w:p>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赖源信用社</w:t>
            </w:r>
          </w:p>
        </w:tc>
        <w:tc>
          <w:tcPr>
            <w:tcW w:w="2518"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福建省连城县赖源乡下村</w:t>
            </w:r>
          </w:p>
        </w:tc>
        <w:tc>
          <w:tcPr>
            <w:tcW w:w="709"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w:t>
            </w:r>
          </w:p>
        </w:tc>
        <w:tc>
          <w:tcPr>
            <w:tcW w:w="1417" w:type="dxa"/>
            <w:vAlign w:val="center"/>
          </w:tcPr>
          <w:p>
            <w:pPr>
              <w:spacing w:line="520" w:lineRule="exact"/>
              <w:jc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11872</w:t>
            </w:r>
          </w:p>
        </w:tc>
        <w:tc>
          <w:tcPr>
            <w:tcW w:w="1418" w:type="dxa"/>
            <w:vAlign w:val="center"/>
          </w:tcPr>
          <w:p>
            <w:pPr>
              <w:spacing w:line="520" w:lineRule="exact"/>
              <w:jc w:val="right"/>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7059.5</w:t>
            </w:r>
          </w:p>
        </w:tc>
      </w:tr>
    </w:tbl>
    <w:p>
      <w:pPr>
        <w:numPr>
          <w:ilvl w:val="0"/>
          <w:numId w:val="0"/>
        </w:numPr>
        <w:spacing w:line="520" w:lineRule="exact"/>
        <w:rPr>
          <w:rFonts w:hint="eastAsia" w:ascii="黑体" w:hAnsi="黑体" w:eastAsia="黑体"/>
          <w:color w:val="auto"/>
          <w:sz w:val="32"/>
          <w:szCs w:val="32"/>
          <w:highlight w:val="none"/>
          <w:lang w:val="en-US" w:eastAsia="zh-CN"/>
        </w:rPr>
      </w:pPr>
      <w:bookmarkStart w:id="6" w:name="_Toc511721819"/>
    </w:p>
    <w:p>
      <w:pPr>
        <w:numPr>
          <w:ilvl w:val="0"/>
          <w:numId w:val="0"/>
        </w:numPr>
        <w:spacing w:line="520" w:lineRule="exact"/>
        <w:ind w:firstLine="640" w:firstLineChars="200"/>
        <w:rPr>
          <w:rFonts w:hint="eastAsia" w:ascii="黑体" w:hAnsi="黑体" w:eastAsia="黑体"/>
          <w:color w:val="auto"/>
          <w:sz w:val="32"/>
          <w:szCs w:val="32"/>
          <w:highlight w:val="none"/>
          <w:lang w:val="en-US" w:eastAsia="zh-CN"/>
        </w:rPr>
      </w:pPr>
    </w:p>
    <w:p>
      <w:pPr>
        <w:numPr>
          <w:ilvl w:val="0"/>
          <w:numId w:val="0"/>
        </w:numPr>
        <w:spacing w:line="520" w:lineRule="exact"/>
        <w:ind w:firstLine="640" w:firstLineChars="200"/>
        <w:rPr>
          <w:rFonts w:hint="eastAsia" w:ascii="黑体" w:hAnsi="黑体" w:eastAsia="黑体"/>
          <w:color w:val="auto"/>
          <w:sz w:val="32"/>
          <w:szCs w:val="32"/>
          <w:highlight w:val="none"/>
          <w:lang w:val="en-US" w:eastAsia="zh-CN"/>
        </w:rPr>
      </w:pPr>
    </w:p>
    <w:p>
      <w:pPr>
        <w:numPr>
          <w:ilvl w:val="0"/>
          <w:numId w:val="17"/>
        </w:numPr>
        <w:spacing w:line="520" w:lineRule="exact"/>
        <w:ind w:left="0" w:leftChars="0" w:firstLine="640" w:firstLineChars="200"/>
        <w:rPr>
          <w:rFonts w:hint="eastAsia" w:ascii="黑体" w:hAnsi="黑体" w:eastAsia="黑体"/>
          <w:color w:val="auto"/>
          <w:sz w:val="32"/>
          <w:szCs w:val="32"/>
          <w:highlight w:val="none"/>
          <w:lang w:val="en-US" w:eastAsia="zh-CN"/>
        </w:rPr>
      </w:pPr>
      <w:r>
        <w:rPr>
          <w:rFonts w:hint="eastAsia" w:ascii="黑体" w:hAnsi="黑体" w:eastAsia="黑体"/>
          <w:color w:val="auto"/>
          <w:sz w:val="32"/>
          <w:szCs w:val="32"/>
          <w:highlight w:val="none"/>
          <w:lang w:val="en-US" w:eastAsia="zh-CN"/>
        </w:rPr>
        <w:t>薪酬管理情况</w:t>
      </w:r>
    </w:p>
    <w:p>
      <w:pPr>
        <w:keepNext w:val="0"/>
        <w:keepLines w:val="0"/>
        <w:pageBreakBefore w:val="0"/>
        <w:widowControl w:val="0"/>
        <w:kinsoku/>
        <w:wordWrap/>
        <w:overflowPunct/>
        <w:topLinePunct w:val="0"/>
        <w:autoSpaceDE/>
        <w:autoSpaceDN/>
        <w:bidi w:val="0"/>
        <w:adjustRightInd/>
        <w:snapToGrid/>
        <w:spacing w:line="520" w:lineRule="exact"/>
        <w:ind w:firstLine="601"/>
        <w:textAlignment w:val="auto"/>
        <w:rPr>
          <w:rFonts w:hint="eastAsia" w:ascii="仿宋_GB2312" w:hAnsi="宋体" w:eastAsia="仿宋_GB2312" w:cs="宋体"/>
          <w:color w:val="auto"/>
          <w:kern w:val="0"/>
          <w:sz w:val="32"/>
          <w:szCs w:val="32"/>
          <w:highlight w:val="none"/>
          <w:lang w:eastAsia="zh-CN"/>
        </w:rPr>
      </w:pPr>
      <w:r>
        <w:rPr>
          <w:rFonts w:hint="eastAsia" w:ascii="仿宋_GB2312" w:hAnsi="宋体" w:eastAsia="仿宋_GB2312" w:cs="宋体"/>
          <w:color w:val="auto"/>
          <w:kern w:val="0"/>
          <w:sz w:val="32"/>
          <w:szCs w:val="32"/>
          <w:highlight w:val="none"/>
          <w:lang w:val="en-US" w:eastAsia="zh-CN"/>
        </w:rPr>
        <w:t>本社</w:t>
      </w:r>
      <w:r>
        <w:rPr>
          <w:rFonts w:hint="eastAsia" w:ascii="仿宋_GB2312" w:hAnsi="宋体" w:eastAsia="仿宋_GB2312" w:cs="宋体"/>
          <w:color w:val="auto"/>
          <w:kern w:val="0"/>
          <w:sz w:val="32"/>
          <w:szCs w:val="32"/>
          <w:highlight w:val="none"/>
        </w:rPr>
        <w:t>薪酬结构包括基本薪酬、绩效薪酬、中长期激励、福利性收入等。薪酬总额由省联社根据</w:t>
      </w:r>
      <w:r>
        <w:rPr>
          <w:rFonts w:hint="eastAsia" w:ascii="仿宋_GB2312" w:hAnsi="宋体" w:eastAsia="仿宋_GB2312" w:cs="宋体"/>
          <w:color w:val="auto"/>
          <w:kern w:val="0"/>
          <w:sz w:val="32"/>
          <w:szCs w:val="32"/>
          <w:highlight w:val="none"/>
          <w:lang w:eastAsia="zh-CN"/>
        </w:rPr>
        <w:t>本社</w:t>
      </w:r>
      <w:r>
        <w:rPr>
          <w:rFonts w:hint="eastAsia" w:ascii="仿宋_GB2312" w:hAnsi="宋体" w:eastAsia="仿宋_GB2312" w:cs="宋体"/>
          <w:color w:val="auto"/>
          <w:kern w:val="0"/>
          <w:sz w:val="32"/>
          <w:szCs w:val="32"/>
          <w:highlight w:val="none"/>
        </w:rPr>
        <w:t>内部管理、经营成果及风险防控等要素实行总额管理。省联社通过每年实施全省统一的绩效考核办法，对</w:t>
      </w:r>
      <w:r>
        <w:rPr>
          <w:rFonts w:hint="eastAsia" w:ascii="仿宋_GB2312" w:hAnsi="宋体" w:eastAsia="仿宋_GB2312" w:cs="宋体"/>
          <w:color w:val="auto"/>
          <w:kern w:val="0"/>
          <w:sz w:val="32"/>
          <w:szCs w:val="32"/>
          <w:highlight w:val="none"/>
          <w:lang w:eastAsia="zh-CN"/>
        </w:rPr>
        <w:t>本社</w:t>
      </w:r>
      <w:r>
        <w:rPr>
          <w:rFonts w:hint="eastAsia" w:ascii="仿宋_GB2312" w:hAnsi="宋体" w:eastAsia="仿宋_GB2312" w:cs="宋体"/>
          <w:color w:val="auto"/>
          <w:kern w:val="0"/>
          <w:sz w:val="32"/>
          <w:szCs w:val="32"/>
          <w:highlight w:val="none"/>
        </w:rPr>
        <w:t>当年经营管理情况进行综合考核评价，通过核定工资和创利专项奖金两部分确定每年可分配的基本薪酬和绩效薪酬额度。本报告期理事、监事以及高级管理层人员合计19人，占在岗正式员工总人数的</w:t>
      </w:r>
      <w:r>
        <w:rPr>
          <w:rFonts w:hint="default" w:ascii="仿宋_GB2312" w:hAnsi="宋体" w:eastAsia="仿宋_GB2312" w:cs="宋体"/>
          <w:color w:val="auto"/>
          <w:kern w:val="0"/>
          <w:sz w:val="32"/>
          <w:szCs w:val="32"/>
          <w:highlight w:val="none"/>
        </w:rPr>
        <w:t>8.7</w:t>
      </w:r>
      <w:r>
        <w:rPr>
          <w:rFonts w:hint="eastAsia" w:ascii="仿宋_GB2312" w:hAnsi="宋体" w:eastAsia="仿宋_GB2312" w:cs="宋体"/>
          <w:color w:val="auto"/>
          <w:kern w:val="0"/>
          <w:sz w:val="32"/>
          <w:szCs w:val="32"/>
          <w:highlight w:val="none"/>
        </w:rPr>
        <w:t>%，应发薪酬占全社薪酬总额的</w:t>
      </w:r>
      <w:r>
        <w:rPr>
          <w:rFonts w:hint="default" w:ascii="仿宋_GB2312" w:hAnsi="宋体" w:eastAsia="仿宋_GB2312" w:cs="宋体"/>
          <w:color w:val="auto"/>
          <w:kern w:val="0"/>
          <w:sz w:val="32"/>
          <w:szCs w:val="32"/>
          <w:highlight w:val="none"/>
        </w:rPr>
        <w:t>11.54</w:t>
      </w:r>
      <w:r>
        <w:rPr>
          <w:rFonts w:hint="eastAsia" w:ascii="仿宋_GB2312" w:hAnsi="宋体" w:eastAsia="仿宋_GB2312" w:cs="宋体"/>
          <w:color w:val="auto"/>
          <w:kern w:val="0"/>
          <w:sz w:val="32"/>
          <w:szCs w:val="32"/>
          <w:highlight w:val="none"/>
        </w:rPr>
        <w:t>%（测算比例，实际应发薪酬总额待省联社对高管人员2024年度绩效测评结果下发后予以清算确定）</w:t>
      </w:r>
      <w:r>
        <w:rPr>
          <w:rFonts w:hint="eastAsia" w:ascii="仿宋_GB2312" w:hAnsi="宋体" w:eastAsia="仿宋_GB2312" w:cs="宋体"/>
          <w:color w:val="auto"/>
          <w:kern w:val="0"/>
          <w:sz w:val="32"/>
          <w:szCs w:val="32"/>
          <w:highlight w:val="none"/>
          <w:lang w:eastAsia="zh-CN"/>
        </w:rPr>
        <w:t>。</w:t>
      </w:r>
    </w:p>
    <w:p>
      <w:pPr>
        <w:pStyle w:val="2"/>
        <w:rPr>
          <w:rFonts w:hint="eastAsia"/>
          <w:highlight w:val="none"/>
          <w:lang w:eastAsia="zh-CN"/>
        </w:rPr>
      </w:pPr>
    </w:p>
    <w:p>
      <w:pPr>
        <w:pStyle w:val="3"/>
        <w:spacing w:line="520" w:lineRule="exact"/>
        <w:jc w:val="center"/>
        <w:rPr>
          <w:highlight w:val="none"/>
        </w:rPr>
      </w:pPr>
      <w:r>
        <w:rPr>
          <w:rFonts w:hint="eastAsia" w:ascii="黑体" w:hAnsi="仿宋" w:eastAsia="黑体"/>
          <w:b w:val="0"/>
          <w:bCs w:val="0"/>
          <w:color w:val="auto"/>
          <w:kern w:val="2"/>
          <w:sz w:val="32"/>
          <w:szCs w:val="32"/>
          <w:highlight w:val="none"/>
        </w:rPr>
        <w:t>第九章 公司治理</w:t>
      </w:r>
    </w:p>
    <w:p>
      <w:pPr>
        <w:spacing w:line="520" w:lineRule="exact"/>
        <w:ind w:firstLine="627" w:firstLineChars="196"/>
        <w:rPr>
          <w:rFonts w:ascii="黑体" w:hAnsi="黑体" w:eastAsia="黑体"/>
          <w:color w:val="auto"/>
          <w:sz w:val="32"/>
          <w:szCs w:val="32"/>
          <w:highlight w:val="none"/>
        </w:rPr>
      </w:pPr>
      <w:r>
        <w:rPr>
          <w:rFonts w:hint="eastAsia" w:ascii="黑体" w:hAnsi="黑体" w:eastAsia="黑体"/>
          <w:color w:val="auto"/>
          <w:sz w:val="32"/>
          <w:szCs w:val="32"/>
          <w:highlight w:val="none"/>
        </w:rPr>
        <w:t>一、法人治理情况</w:t>
      </w:r>
    </w:p>
    <w:p>
      <w:pPr>
        <w:spacing w:line="520" w:lineRule="exact"/>
        <w:ind w:firstLine="601"/>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本报告期内，</w:t>
      </w:r>
      <w:r>
        <w:rPr>
          <w:rFonts w:hint="eastAsia" w:ascii="仿宋_GB2312" w:hAnsi="宋体" w:eastAsia="仿宋_GB2312"/>
          <w:color w:val="auto"/>
          <w:sz w:val="32"/>
          <w:szCs w:val="32"/>
          <w:highlight w:val="none"/>
        </w:rPr>
        <w:t>本社按照国家金融监管总局、省联社要求建立健全“社员代表大会、理事会、监事会，高级管理层”制度，完善理事会、监事会议事规则和主任办公会议制度，做到决策权、监督权和执行权相分离，达到各负其责、协调运转、有效制衡的法人治理要求。</w:t>
      </w:r>
    </w:p>
    <w:p>
      <w:pPr>
        <w:adjustRightInd w:val="0"/>
        <w:snapToGrid w:val="0"/>
        <w:spacing w:line="520" w:lineRule="exact"/>
        <w:ind w:firstLine="627" w:firstLineChars="196"/>
        <w:rPr>
          <w:rFonts w:ascii="仿宋_GB2312" w:hAnsi="Arial" w:eastAsia="仿宋_GB2312" w:cs="Arial"/>
          <w:sz w:val="32"/>
          <w:szCs w:val="32"/>
          <w:highlight w:val="none"/>
        </w:rPr>
      </w:pPr>
      <w:r>
        <w:rPr>
          <w:rFonts w:hint="eastAsia" w:ascii="仿宋_GB2312" w:hAnsi="Arial" w:eastAsia="仿宋_GB2312" w:cs="Arial"/>
          <w:color w:val="auto"/>
          <w:sz w:val="32"/>
          <w:szCs w:val="32"/>
          <w:highlight w:val="none"/>
        </w:rPr>
        <w:t>202</w:t>
      </w:r>
      <w:r>
        <w:rPr>
          <w:rFonts w:hint="eastAsia" w:ascii="仿宋_GB2312" w:hAnsi="Arial" w:eastAsia="仿宋_GB2312" w:cs="Arial"/>
          <w:color w:val="auto"/>
          <w:sz w:val="32"/>
          <w:szCs w:val="32"/>
          <w:highlight w:val="none"/>
          <w:lang w:val="en-US" w:eastAsia="zh-CN"/>
        </w:rPr>
        <w:t>4</w:t>
      </w:r>
      <w:r>
        <w:rPr>
          <w:rFonts w:hint="eastAsia" w:ascii="仿宋_GB2312" w:hAnsi="Arial" w:eastAsia="仿宋_GB2312" w:cs="Arial"/>
          <w:color w:val="auto"/>
          <w:sz w:val="32"/>
          <w:szCs w:val="32"/>
          <w:highlight w:val="none"/>
        </w:rPr>
        <w:t>年，</w:t>
      </w:r>
      <w:r>
        <w:rPr>
          <w:rFonts w:hint="eastAsia" w:ascii="仿宋_GB2312" w:hAnsi="Arial" w:eastAsia="仿宋_GB2312" w:cs="Arial"/>
          <w:color w:val="auto"/>
          <w:sz w:val="32"/>
          <w:szCs w:val="32"/>
          <w:highlight w:val="none"/>
          <w:lang w:val="en-US" w:eastAsia="zh-CN"/>
        </w:rPr>
        <w:t>本社</w:t>
      </w:r>
      <w:r>
        <w:rPr>
          <w:rFonts w:hint="eastAsia" w:ascii="仿宋_GB2312" w:eastAsia="仿宋_GB2312"/>
          <w:color w:val="auto"/>
          <w:sz w:val="32"/>
          <w:szCs w:val="32"/>
          <w:highlight w:val="none"/>
        </w:rPr>
        <w:t>不断强化</w:t>
      </w:r>
      <w:r>
        <w:rPr>
          <w:rFonts w:hint="eastAsia" w:ascii="仿宋_GB2312" w:hAnsi="宋体" w:eastAsia="仿宋_GB2312"/>
          <w:color w:val="auto"/>
          <w:sz w:val="32"/>
          <w:szCs w:val="32"/>
          <w:highlight w:val="none"/>
        </w:rPr>
        <w:t>社员代表</w:t>
      </w:r>
      <w:r>
        <w:rPr>
          <w:rFonts w:hint="eastAsia" w:ascii="仿宋_GB2312" w:eastAsia="仿宋_GB2312"/>
          <w:color w:val="auto"/>
          <w:sz w:val="32"/>
          <w:szCs w:val="32"/>
          <w:highlight w:val="none"/>
        </w:rPr>
        <w:t>大会、理事会决策职能，切实加强理事会下设各委员会运作。</w:t>
      </w:r>
      <w:r>
        <w:rPr>
          <w:rFonts w:hint="eastAsia" w:ascii="仿宋_GB2312" w:eastAsia="仿宋_GB2312"/>
          <w:color w:val="auto"/>
          <w:sz w:val="32"/>
          <w:szCs w:val="32"/>
          <w:highlight w:val="none"/>
          <w:lang w:val="en-US" w:eastAsia="zh-CN"/>
        </w:rPr>
        <w:t>本社</w:t>
      </w: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年的一系列重大决策思路清晰、目标明确，注重在制定战略、创新发展、合规经营、风险防控等方面的规划、部署，</w:t>
      </w:r>
      <w:r>
        <w:rPr>
          <w:rFonts w:hint="eastAsia" w:ascii="仿宋_GB2312" w:hAnsi="Arial" w:eastAsia="仿宋_GB2312" w:cs="Arial"/>
          <w:sz w:val="32"/>
          <w:szCs w:val="32"/>
          <w:highlight w:val="none"/>
        </w:rPr>
        <w:t>认真履行各项职责，扎实工作，取得较好的成效。</w:t>
      </w:r>
    </w:p>
    <w:p>
      <w:pPr>
        <w:keepNext w:val="0"/>
        <w:keepLines w:val="0"/>
        <w:pageBreakBefore w:val="0"/>
        <w:widowControl w:val="0"/>
        <w:kinsoku/>
        <w:wordWrap/>
        <w:overflowPunct/>
        <w:topLinePunct w:val="0"/>
        <w:autoSpaceDE/>
        <w:autoSpaceDN/>
        <w:bidi w:val="0"/>
        <w:adjustRightInd w:val="0"/>
        <w:snapToGrid w:val="0"/>
        <w:spacing w:line="560" w:lineRule="exact"/>
        <w:ind w:firstLine="627"/>
        <w:textAlignment w:val="auto"/>
        <w:rPr>
          <w:rFonts w:ascii="仿宋_GB2312" w:eastAsia="仿宋_GB2312"/>
          <w:sz w:val="32"/>
          <w:szCs w:val="32"/>
          <w:highlight w:val="none"/>
        </w:rPr>
      </w:pPr>
      <w:r>
        <w:rPr>
          <w:rFonts w:hint="eastAsia" w:ascii="楷体_GB2312" w:hAnsi="楷体" w:eastAsia="楷体_GB2312" w:cs="Arial"/>
          <w:b/>
          <w:sz w:val="32"/>
          <w:szCs w:val="32"/>
          <w:highlight w:val="none"/>
        </w:rPr>
        <w:t>（一）</w:t>
      </w:r>
      <w:r>
        <w:rPr>
          <w:rFonts w:hint="eastAsia" w:ascii="楷体_GB2312" w:hAnsi="楷体" w:eastAsia="楷体_GB2312"/>
          <w:b/>
          <w:sz w:val="32"/>
          <w:szCs w:val="32"/>
          <w:highlight w:val="none"/>
        </w:rPr>
        <w:t>科学规划，</w:t>
      </w:r>
      <w:r>
        <w:rPr>
          <w:rFonts w:hint="eastAsia" w:ascii="楷体_GB2312" w:hAnsi="楷体" w:eastAsia="楷体_GB2312"/>
          <w:b/>
          <w:kern w:val="0"/>
          <w:sz w:val="32"/>
          <w:szCs w:val="32"/>
          <w:highlight w:val="none"/>
        </w:rPr>
        <w:t>推动战略实施</w:t>
      </w:r>
      <w:r>
        <w:rPr>
          <w:rFonts w:hint="eastAsia" w:ascii="楷体_GB2312" w:hAnsi="楷体" w:eastAsia="楷体_GB2312"/>
          <w:b/>
          <w:sz w:val="32"/>
          <w:szCs w:val="32"/>
          <w:highlight w:val="none"/>
        </w:rPr>
        <w:t>。</w:t>
      </w:r>
      <w:r>
        <w:rPr>
          <w:rFonts w:hint="eastAsia" w:ascii="仿宋_GB2312" w:hAnsi="宋体" w:eastAsia="仿宋_GB2312" w:cs="宋体"/>
          <w:kern w:val="0"/>
          <w:sz w:val="32"/>
          <w:szCs w:val="32"/>
          <w:highlight w:val="none"/>
        </w:rPr>
        <w:t>联社在过去的基础上保持良好的发展态势，在“练内功”和“促发展”并行并重的轨道上稳健经营、快速发展，以“党建+金融助理+多社融合”模式为业务发展新动能，为客户创造价值、为股东增加回报、为员工谋求福祉。根据</w:t>
      </w:r>
      <w:r>
        <w:rPr>
          <w:rFonts w:hint="eastAsia" w:ascii="仿宋_GB2312" w:eastAsia="仿宋_GB2312"/>
          <w:sz w:val="32"/>
          <w:szCs w:val="32"/>
          <w:highlight w:val="none"/>
        </w:rPr>
        <w:t>战略发展规划，</w:t>
      </w:r>
      <w:r>
        <w:rPr>
          <w:rFonts w:hint="eastAsia" w:ascii="仿宋_GB2312" w:hAnsi="宋体" w:eastAsia="仿宋_GB2312" w:cs="宋体"/>
          <w:kern w:val="0"/>
          <w:sz w:val="32"/>
          <w:szCs w:val="32"/>
          <w:highlight w:val="none"/>
          <w:lang w:eastAsia="zh-CN"/>
        </w:rPr>
        <w:t>本社</w:t>
      </w:r>
      <w:r>
        <w:rPr>
          <w:rFonts w:hint="eastAsia" w:ascii="仿宋_GB2312" w:hAnsi="宋体" w:eastAsia="仿宋_GB2312" w:cs="宋体"/>
          <w:kern w:val="0"/>
          <w:sz w:val="32"/>
          <w:szCs w:val="32"/>
          <w:highlight w:val="none"/>
        </w:rPr>
        <w:t>明确了202</w:t>
      </w:r>
      <w:r>
        <w:rPr>
          <w:rFonts w:hint="eastAsia" w:ascii="仿宋_GB2312" w:hAnsi="宋体" w:eastAsia="仿宋_GB2312" w:cs="宋体"/>
          <w:kern w:val="0"/>
          <w:sz w:val="32"/>
          <w:szCs w:val="32"/>
          <w:highlight w:val="none"/>
          <w:lang w:val="en-US" w:eastAsia="zh-CN"/>
        </w:rPr>
        <w:t>4</w:t>
      </w:r>
      <w:r>
        <w:rPr>
          <w:rFonts w:hint="eastAsia" w:ascii="仿宋_GB2312" w:hAnsi="宋体" w:eastAsia="仿宋_GB2312" w:cs="宋体"/>
          <w:kern w:val="0"/>
          <w:sz w:val="32"/>
          <w:szCs w:val="32"/>
          <w:highlight w:val="none"/>
        </w:rPr>
        <w:t>年的主要工作思路，制定了年度经营计划，</w:t>
      </w:r>
      <w:r>
        <w:rPr>
          <w:rFonts w:hint="eastAsia" w:ascii="仿宋_GB2312" w:eastAsia="仿宋_GB2312"/>
          <w:sz w:val="32"/>
          <w:szCs w:val="32"/>
          <w:highlight w:val="none"/>
        </w:rPr>
        <w:t>对202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年度发展目标、业务指标以及实现目标的工作措施进行了全面的计划。</w:t>
      </w:r>
    </w:p>
    <w:p>
      <w:pPr>
        <w:keepNext w:val="0"/>
        <w:keepLines w:val="0"/>
        <w:pageBreakBefore w:val="0"/>
        <w:widowControl w:val="0"/>
        <w:kinsoku/>
        <w:wordWrap/>
        <w:overflowPunct/>
        <w:topLinePunct w:val="0"/>
        <w:autoSpaceDE/>
        <w:autoSpaceDN/>
        <w:bidi w:val="0"/>
        <w:adjustRightInd w:val="0"/>
        <w:snapToGrid w:val="0"/>
        <w:spacing w:line="560" w:lineRule="exact"/>
        <w:ind w:firstLine="627"/>
        <w:textAlignment w:val="auto"/>
        <w:rPr>
          <w:rFonts w:ascii="仿宋_GB2312" w:hAnsi="新宋体" w:eastAsia="仿宋_GB2312"/>
          <w:snapToGrid w:val="0"/>
          <w:kern w:val="0"/>
          <w:sz w:val="32"/>
          <w:szCs w:val="32"/>
          <w:highlight w:val="none"/>
        </w:rPr>
      </w:pPr>
      <w:r>
        <w:rPr>
          <w:rFonts w:hint="eastAsia" w:ascii="楷体_GB2312" w:hAnsi="楷体" w:eastAsia="楷体_GB2312" w:cs="Arial"/>
          <w:b/>
          <w:sz w:val="32"/>
          <w:szCs w:val="32"/>
          <w:highlight w:val="none"/>
        </w:rPr>
        <w:t>（二）注重协调，争取多方支持。</w:t>
      </w:r>
      <w:r>
        <w:rPr>
          <w:rFonts w:hint="eastAsia" w:ascii="仿宋_GB2312" w:hAnsi="新宋体" w:eastAsia="仿宋_GB2312"/>
          <w:snapToGrid w:val="0"/>
          <w:kern w:val="0"/>
          <w:sz w:val="32"/>
          <w:szCs w:val="32"/>
          <w:highlight w:val="none"/>
        </w:rPr>
        <w:t>联社</w:t>
      </w:r>
      <w:r>
        <w:rPr>
          <w:rFonts w:hint="eastAsia" w:ascii="仿宋_GB2312" w:hAnsi="新宋体" w:eastAsia="仿宋_GB2312" w:cs="宋体"/>
          <w:snapToGrid w:val="0"/>
          <w:kern w:val="0"/>
          <w:sz w:val="32"/>
          <w:szCs w:val="32"/>
          <w:highlight w:val="none"/>
        </w:rPr>
        <w:t>领导班子积极主动向各级党政部门汇报工作</w:t>
      </w:r>
      <w:r>
        <w:rPr>
          <w:rFonts w:hint="eastAsia" w:ascii="仿宋_GB2312" w:hAnsi="新宋体" w:eastAsia="仿宋_GB2312" w:cs="宋体"/>
          <w:snapToGrid w:val="0"/>
          <w:kern w:val="0"/>
          <w:sz w:val="32"/>
          <w:szCs w:val="32"/>
          <w:highlight w:val="none"/>
          <w:lang w:eastAsia="zh-CN"/>
        </w:rPr>
        <w:t>并</w:t>
      </w:r>
      <w:r>
        <w:rPr>
          <w:rFonts w:hint="eastAsia" w:ascii="仿宋_GB2312" w:hAnsi="新宋体" w:eastAsia="仿宋_GB2312" w:cs="宋体"/>
          <w:snapToGrid w:val="0"/>
          <w:kern w:val="0"/>
          <w:sz w:val="32"/>
          <w:szCs w:val="32"/>
          <w:highlight w:val="none"/>
        </w:rPr>
        <w:t>争取支持，向地方党政领导介绍</w:t>
      </w:r>
      <w:r>
        <w:rPr>
          <w:rFonts w:hint="eastAsia" w:ascii="仿宋_GB2312" w:hAnsi="新宋体" w:eastAsia="仿宋_GB2312" w:cs="宋体"/>
          <w:snapToGrid w:val="0"/>
          <w:kern w:val="0"/>
          <w:sz w:val="32"/>
          <w:szCs w:val="32"/>
          <w:highlight w:val="none"/>
          <w:lang w:eastAsia="zh-CN"/>
        </w:rPr>
        <w:t>本社</w:t>
      </w:r>
      <w:r>
        <w:rPr>
          <w:rFonts w:hint="eastAsia" w:ascii="仿宋_GB2312" w:hAnsi="新宋体" w:eastAsia="仿宋_GB2312" w:cs="宋体"/>
          <w:snapToGrid w:val="0"/>
          <w:kern w:val="0"/>
          <w:sz w:val="32"/>
          <w:szCs w:val="32"/>
          <w:highlight w:val="none"/>
        </w:rPr>
        <w:t>的优势和贡献。同时，积极向监管部门反映和汇报工作，加大不良贷款处置力度</w:t>
      </w:r>
      <w:r>
        <w:rPr>
          <w:rFonts w:hint="eastAsia" w:ascii="仿宋_GB2312" w:hAnsi="新宋体" w:eastAsia="仿宋_GB2312"/>
          <w:snapToGrid w:val="0"/>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36" w:firstLineChars="198"/>
        <w:jc w:val="left"/>
        <w:textAlignment w:val="auto"/>
        <w:rPr>
          <w:rFonts w:ascii="仿宋_GB2312" w:hAnsi="Arial" w:eastAsia="仿宋_GB2312" w:cs="Arial"/>
          <w:sz w:val="32"/>
          <w:szCs w:val="32"/>
          <w:highlight w:val="none"/>
        </w:rPr>
      </w:pPr>
      <w:r>
        <w:rPr>
          <w:rFonts w:hint="eastAsia" w:ascii="楷体_GB2312" w:hAnsi="楷体" w:eastAsia="楷体_GB2312" w:cs="Arial"/>
          <w:b/>
          <w:sz w:val="32"/>
          <w:szCs w:val="32"/>
          <w:highlight w:val="none"/>
        </w:rPr>
        <w:t>（三）合规运作，自觉接受监督。</w:t>
      </w:r>
      <w:r>
        <w:rPr>
          <w:rFonts w:hint="eastAsia" w:ascii="仿宋_GB2312" w:hAnsi="Arial" w:eastAsia="仿宋_GB2312" w:cs="Arial"/>
          <w:sz w:val="32"/>
          <w:szCs w:val="32"/>
          <w:highlight w:val="none"/>
        </w:rPr>
        <w:t>为更好地接受监事会的监督，有效发挥监事会的职能作用，根据《章程》要求，联社理事会每次会议均邀请监事列席会议，理事会对农村信用社的经营管理重大决策，监事会都全程参与、监督，对监事会提出的意见和建议，理事会都非常重视，仔细研究，并明确答复。理事会、监事会能紧紧围绕发展目标，较好地发挥各自职能，有力促进了</w:t>
      </w:r>
      <w:r>
        <w:rPr>
          <w:rFonts w:hint="eastAsia" w:ascii="仿宋_GB2312" w:hAnsi="Arial" w:eastAsia="仿宋_GB2312" w:cs="Arial"/>
          <w:sz w:val="32"/>
          <w:szCs w:val="32"/>
          <w:highlight w:val="none"/>
          <w:lang w:eastAsia="zh-CN"/>
        </w:rPr>
        <w:t>本社</w:t>
      </w:r>
      <w:r>
        <w:rPr>
          <w:rFonts w:hint="eastAsia" w:ascii="仿宋_GB2312" w:hAnsi="Arial" w:eastAsia="仿宋_GB2312" w:cs="Arial"/>
          <w:sz w:val="32"/>
          <w:szCs w:val="32"/>
          <w:highlight w:val="none"/>
        </w:rPr>
        <w:t>的稳健发展。</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eastAsia="方正小标宋简体"/>
          <w:sz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方正小标宋简体" w:eastAsia="方正小标宋简体"/>
          <w:sz w:val="32"/>
          <w:highlight w:val="none"/>
        </w:rPr>
      </w:pPr>
      <w:r>
        <w:rPr>
          <w:rFonts w:hint="eastAsia" w:ascii="方正小标宋简体" w:eastAsia="方正小标宋简体"/>
          <w:sz w:val="32"/>
          <w:highlight w:val="none"/>
        </w:rPr>
        <w:t>连城县农村信用合作联社组织结构图</w:t>
      </w:r>
    </w:p>
    <w:bookmarkEnd w:id="6"/>
    <w:p>
      <w:pPr>
        <w:pStyle w:val="3"/>
        <w:keepNext w:val="0"/>
        <w:keepLines w:val="0"/>
        <w:spacing w:before="0" w:after="0" w:line="520" w:lineRule="exact"/>
        <w:rPr>
          <w:rFonts w:ascii="黑体" w:hAnsi="仿宋" w:eastAsia="黑体"/>
          <w:b w:val="0"/>
          <w:bCs w:val="0"/>
          <w:kern w:val="2"/>
          <w:sz w:val="32"/>
          <w:szCs w:val="32"/>
          <w:highlight w:val="none"/>
        </w:rPr>
      </w:pPr>
      <w:bookmarkStart w:id="7" w:name="_Toc511721820"/>
      <w:r>
        <w:rPr>
          <w:rFonts w:hint="eastAsia"/>
          <w:highlight w:val="none"/>
        </w:rPr>
        <w:pict>
          <v:group id="画布 117" o:spid="_x0000_s1026" o:spt="203" style="position:absolute;left:0pt;margin-left:-17.7pt;margin-top:-45.25pt;height:690.9pt;width:461.05pt;mso-wrap-distance-bottom:0pt;mso-wrap-distance-top:0pt;z-index:251659264;mso-width-relative:page;mso-height-relative:page;" coordsize="5855334,8774427" editas="canvas">
            <o:lock v:ext="edit"/>
            <v:rect id="画布 117" o:spid="_x0000_s1027" o:spt="1" style="position:absolute;left:0;top:0;height:8774427;width:5855334;" filled="f" stroked="f" coordsize="21600,21600">
              <v:path/>
              <v:fill on="f" focussize="0,0"/>
              <v:stroke on="f"/>
              <v:imagedata o:title=""/>
              <o:lock v:ext="edit" aspectratio="t"/>
            </v:rect>
            <v:roundrect id="圆角矩形 2" o:spid="_x0000_s1028" o:spt="2" style="position:absolute;left:2423795;top:10160;height:299085;width:93345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Jw84HYAAAACQEAAA8AAAAAAAAAAQAgAAAAIgAAAGRycy9kb3ducmV2LnhtbFBLAQIUABQA&#10;AAAIAIdO4kBfFC23KQIAAEUEAAAOAAAAAAAAAAEAIAAAACcBAABkcnMvZTJvRG9jLnhtbFBLBQYA&#10;AAAABgAGAFkBAADCBQAAAAA=&#10;">
              <v:path/>
              <v:fill on="t" color2="#FFFFFF" focussize="0,0"/>
              <v:stroke color="#000000"/>
              <v:imagedata o:title=""/>
              <o:lock v:ext="edit" aspectratio="f"/>
              <v:textbox inset="7.3440157480315pt,3.67196850393701pt,7.3440157480315pt,3.67196850393701pt">
                <w:txbxContent>
                  <w:p>
                    <w:pPr>
                      <w:jc w:val="center"/>
                      <w:rPr>
                        <w:rFonts w:ascii="Calibri" w:hAnsi="Calibri"/>
                        <w:b/>
                      </w:rPr>
                    </w:pPr>
                    <w:r>
                      <w:rPr>
                        <w:rFonts w:hint="eastAsia" w:ascii="Calibri" w:hAnsi="Calibri"/>
                        <w:b/>
                      </w:rPr>
                      <w:t>股东大会</w:t>
                    </w:r>
                  </w:p>
                </w:txbxContent>
              </v:textbox>
            </v:roundrect>
            <v:roundrect id="圆角矩形 3" o:spid="_x0000_s1029" o:spt="2" style="position:absolute;left:2433320;top:1796415;height:309245;width:93345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w84HYAAAACQEAAA8AAAAAAAAAAQAgAAAAIgAAAGRycy9kb3ducmV2LnhtbFBLAQIU&#10;ABQAAAAIAIdO4kCKWIx+LAIAAEcEAAAOAAAAAAAAAAEAIAAAACcBAABkcnMvZTJvRG9jLnhtbFBL&#10;BQYAAAAABgAGAFkBAADFBQAAAAA=&#10;">
              <v:path/>
              <v:fill on="t" color2="#FFFFFF" focussize="0,0"/>
              <v:stroke color="#000000"/>
              <v:imagedata o:title=""/>
              <o:lock v:ext="edit" aspectratio="f"/>
              <v:textbox inset="7.3440157480315pt,3.67196850393701pt,7.3440157480315pt,3.67196850393701pt">
                <w:txbxContent>
                  <w:p>
                    <w:pPr>
                      <w:jc w:val="center"/>
                      <w:rPr>
                        <w:rFonts w:ascii="Calibri" w:hAnsi="Calibri"/>
                        <w:b/>
                      </w:rPr>
                    </w:pPr>
                    <w:r>
                      <w:rPr>
                        <w:rFonts w:hint="eastAsia" w:ascii="Calibri" w:hAnsi="Calibri"/>
                        <w:b/>
                      </w:rPr>
                      <w:t>理事会</w:t>
                    </w:r>
                  </w:p>
                </w:txbxContent>
              </v:textbox>
            </v:roundrect>
            <v:roundrect id="圆角矩形 4" o:spid="_x0000_s1030" o:spt="2" style="position:absolute;left:2447925;top:4465320;height:309245;width:93345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ycPOB2AAAAAkBAAAPAAAAAAAAAAEAIAAAACIAAABkcnMvZG93bnJldi54bWxQSwECFAAU&#10;AAAACACHTuJA+x1yfioCAABHBAAADgAAAAAAAAABACAAAAAnAQAAZHJzL2Uyb0RvYy54bWxQSwUG&#10;AAAAAAYABgBZAQAAwwUAAAAA&#10;">
              <v:path/>
              <v:fill on="t" color2="#FFFFFF" focussize="0,0"/>
              <v:stroke color="#000000"/>
              <v:imagedata o:title=""/>
              <o:lock v:ext="edit" aspectratio="f"/>
              <v:textbox inset="7.3440157480315pt,3.67196850393701pt,7.3440157480315pt,3.67196850393701pt">
                <w:txbxContent>
                  <w:p>
                    <w:pPr>
                      <w:jc w:val="center"/>
                      <w:rPr>
                        <w:rFonts w:ascii="Calibri" w:hAnsi="Calibri"/>
                        <w:b/>
                      </w:rPr>
                    </w:pPr>
                    <w:r>
                      <w:rPr>
                        <w:rFonts w:hint="eastAsia" w:ascii="Calibri" w:hAnsi="Calibri"/>
                        <w:b/>
                      </w:rPr>
                      <w:t>高级管理层</w:t>
                    </w:r>
                  </w:p>
                </w:txbxContent>
              </v:textbox>
            </v:roundrect>
            <v:roundrect id="圆角矩形 5" o:spid="_x0000_s1031" o:spt="2" style="position:absolute;left:3564890;top:646430;height:299085;width:93408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8nDzgdgAAAAJAQAADwAAAAAAAAABACAAAAAiAAAAZHJzL2Rvd25yZXYueG1sUEsBAhQAFAAA&#10;AAgAh07iQIdmrO0oAgAARgQAAA4AAAAAAAAAAQAgAAAAJwEAAGRycy9lMm9Eb2MueG1sUEsFBgAA&#10;AAAGAAYAWQEAAMEFAAAAAA==&#10;">
              <v:path/>
              <v:fill on="t" color2="#FFFFFF" focussize="0,0"/>
              <v:stroke color="#000000"/>
              <v:imagedata o:title=""/>
              <o:lock v:ext="edit" aspectratio="f"/>
              <v:textbox inset="7.3440157480315pt,3.67196850393701pt,7.3440157480315pt,3.67196850393701pt">
                <w:txbxContent>
                  <w:p>
                    <w:pPr>
                      <w:jc w:val="center"/>
                      <w:rPr>
                        <w:rFonts w:ascii="Calibri" w:hAnsi="Calibri"/>
                        <w:b/>
                      </w:rPr>
                    </w:pPr>
                    <w:r>
                      <w:rPr>
                        <w:rFonts w:hint="eastAsia" w:ascii="Calibri" w:hAnsi="Calibri"/>
                        <w:b/>
                      </w:rPr>
                      <w:t>监事会</w:t>
                    </w:r>
                  </w:p>
                </w:txbxContent>
              </v:textbox>
            </v:roundrect>
            <v:roundrect id="圆角矩形 6" o:spid="_x0000_s1032" o:spt="2" style="position:absolute;left:4231640;top:2542540;height:308610;width:157099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ycPOB2AAAAAkBAAAPAAAAAAAAAAEAIAAAACIAAABkcnMvZG93bnJldi54bWxQSwEC&#10;FAAUAAAACACHTuJARmUjcy0CAABIBAAADgAAAAAAAAABACAAAAAnAQAAZHJzL2Uyb0RvYy54bWxQ&#10;SwUGAAAAAAYABgBZAQAAxgU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“三农”</w:t>
                    </w:r>
                    <w:r>
                      <w:rPr>
                        <w:rFonts w:ascii="Calibri" w:hAnsi="Calibri"/>
                      </w:rPr>
                      <w:t>委员会</w:t>
                    </w:r>
                  </w:p>
                </w:txbxContent>
              </v:textbox>
            </v:roundrect>
            <v:roundrect id="圆角矩形 7" o:spid="_x0000_s1033" o:spt="2" style="position:absolute;left:4222115;top:2155190;height:309245;width:157099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nDzgdgAAAAJAQAADwAAAAAAAAABACAAAAAiAAAAZHJzL2Rvd25yZXYueG1sUEsB&#10;AhQAFAAAAAgAh07iQCsi4HQuAgAASAQAAA4AAAAAAAAAAQAgAAAAJwEAAGRycy9lMm9Eb2MueG1s&#10;UEsFBgAAAAAGAAYAWQEAAMc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提名和薪酬委员会</w:t>
                    </w:r>
                  </w:p>
                  <w:p>
                    <w:pPr>
                      <w:rPr>
                        <w:rFonts w:ascii="Calibri" w:hAnsi="Calibri"/>
                      </w:rPr>
                    </w:pPr>
                  </w:p>
                </w:txbxContent>
              </v:textbox>
            </v:roundrect>
            <v:roundrect id="圆角矩形 8" o:spid="_x0000_s1034" o:spt="2" style="position:absolute;left:4209415;top:1798955;height:307975;width:157099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Jw84HYAAAACQEAAA8AAAAAAAAAAQAgAAAAIgAAAGRycy9kb3ducmV2LnhtbFBL&#10;AQIUABQAAAAIAIdO4kBLe3AYLwIAAEgEAAAOAAAAAAAAAAEAIAAAACcBAABkcnMvZTJvRG9jLnht&#10;bFBLBQYAAAAABgAGAFkBAADIBQAAAAA=&#10;">
              <v:path/>
              <v:fill on="t" color2="#FFFFFF" focussize="0,0"/>
              <v:stroke color="#000000"/>
              <v:imagedata o:title=""/>
              <o:lock v:ext="edit" aspectratio="f"/>
              <v:textbox inset="7.3440157480315pt,3.67196850393701pt,7.3440157480315pt,3.67196850393701pt">
                <w:txbxContent>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战略发展委员</w:t>
                    </w:r>
                    <w:r>
                      <w:rPr>
                        <w:rFonts w:hint="eastAsia" w:asciiTheme="minorEastAsia" w:hAnsiTheme="minorEastAsia" w:eastAsiaTheme="minorEastAsia" w:cstheme="minorEastAsia"/>
                        <w:snapToGrid w:val="0"/>
                        <w:kern w:val="0"/>
                        <w:sz w:val="21"/>
                        <w:szCs w:val="21"/>
                      </w:rPr>
                      <w:t>会</w:t>
                    </w:r>
                  </w:p>
                </w:txbxContent>
              </v:textbox>
            </v:roundrect>
            <v:roundrect id="圆角矩形 9" o:spid="_x0000_s1035" o:spt="2" style="position:absolute;left:4215130;top:2898775;height:308610;width:157099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nDzgdgAAAAJAQAADwAAAAAAAAABACAAAAAiAAAAZHJzL2Rvd25yZXYueG1sUEsB&#10;AhQAFAAAAAgAh07iQJUPajwuAgAASAQAAA4AAAAAAAAAAQAgAAAAJwEAAGRycy9lMm9Eb2MueG1s&#10;UEsFBgAAAAAGAAYAWQEAAMc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信息科技委员会</w:t>
                    </w:r>
                  </w:p>
                </w:txbxContent>
              </v:textbox>
            </v:roundrect>
            <v:roundrect id="圆角矩形 10" o:spid="_x0000_s1036" o:spt="2" style="position:absolute;left:4216400;top:3254375;height:307975;width:159639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nDzgdgAAAAJAQAADwAAAAAAAAABACAAAAAiAAAAZHJzL2Rvd25yZXYueG1sUEsB&#10;AhQAFAAAAAgAh07iQCQJD3wuAgAASgQAAA4AAAAAAAAAAQAgAAAAJwEAAGRycy9lMm9Eb2MueG1s&#10;UEsFBgAAAAAGAAYAWQEAAMc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消费者权益保护委员会</w:t>
                    </w:r>
                  </w:p>
                  <w:p>
                    <w:pPr>
                      <w:rPr>
                        <w:rFonts w:ascii="Calibri" w:hAnsi="Calibri"/>
                      </w:rPr>
                    </w:pPr>
                  </w:p>
                </w:txbxContent>
              </v:textbox>
            </v:roundrect>
            <v:roundrect id="圆角矩形 11" o:spid="_x0000_s1037" o:spt="2" style="position:absolute;left:5080;top:0;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8nDzgdgAAAAJAQAADwAAAAAAAAABACAAAAAiAAAAZHJzL2Rvd25yZXYueG1sUEsBAhQAFAAAAAgA&#10;h07iQKX9tCQlAgAAQQQAAA4AAAAAAAAAAQAgAAAAJwEAAGRycy9lMm9Eb2MueG1sUEsFBgAAAAAG&#10;AAYAWQEAAL4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rPr>
                      <w:t>综合管理部</w:t>
                    </w:r>
                  </w:p>
                </w:txbxContent>
              </v:textbox>
            </v:roundrect>
            <v:roundrect id="圆角矩形 12" o:spid="_x0000_s1038" o:spt="2" style="position:absolute;left:5080;top:361950;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ycPOB2AAAAAkBAAAPAAAAAAAAAAEAIAAAACIAAABkcnMvZG93bnJldi54bWxQSwECFAAU&#10;AAAACACHTuJACg3t+SoCAABGBAAADgAAAAAAAAABACAAAAAnAQAAZHJzL2Uyb0RvYy54bWxQSwUG&#10;AAAAAAYABgBZAQAAwwU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t>党群工作部</w:t>
                    </w:r>
                  </w:p>
                </w:txbxContent>
              </v:textbox>
            </v:roundrect>
            <v:roundrect id="圆角矩形 13" o:spid="_x0000_s1039" o:spt="2" style="position:absolute;left:5080;top:742950;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ycPOB2AAAAAkBAAAPAAAAAAAAAAEAIAAAACIAAABkcnMvZG93bnJldi54bWxQSwECFAAU&#10;AAAACACHTuJA/3j8zioCAABGBAAADgAAAAAAAAABACAAAAAnAQAAZHJzL2Uyb0RvYy54bWxQSwUG&#10;AAAAAAYABgBZAQAAwwU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lang w:eastAsia="zh-CN"/>
                      </w:rPr>
                      <w:t>财务会计</w:t>
                    </w:r>
                    <w:r>
                      <w:rPr>
                        <w:rFonts w:hint="eastAsia" w:ascii="Calibri" w:hAnsi="Calibri"/>
                      </w:rPr>
                      <w:t>部</w:t>
                    </w:r>
                  </w:p>
                </w:txbxContent>
              </v:textbox>
            </v:roundrect>
            <v:roundrect id="圆角矩形 14" o:spid="_x0000_s1040" o:spt="2" style="position:absolute;left:5080;top:1115060;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ycPOB2AAAAAkBAAAPAAAAAAAAAAEAIAAAACIAAABkcnMvZG93bnJldi54bWxQSwECFAAU&#10;AAAACACHTuJAOx2dpCoCAABHBAAADgAAAAAAAAABACAAAAAnAQAAZHJzL2Uyb0RvYy54bWxQSwUG&#10;AAAAAAYABgBZAQAAwwU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lang w:eastAsia="zh-CN"/>
                      </w:rPr>
                      <w:t>运营管理</w:t>
                    </w:r>
                    <w:r>
                      <w:rPr>
                        <w:rFonts w:hint="eastAsia" w:ascii="Calibri" w:hAnsi="Calibri"/>
                      </w:rPr>
                      <w:t>部</w:t>
                    </w:r>
                  </w:p>
                </w:txbxContent>
              </v:textbox>
            </v:roundrect>
            <v:roundrect id="圆角矩形 15" o:spid="_x0000_s1041" o:spt="2" style="position:absolute;left:5080;top:1487805;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ycPOB2AAAAAkBAAAPAAAAAAAAAAEAIAAAACIAAABkcnMvZG93bnJldi54bWxQSwECFAAU&#10;AAAACACHTuJAbcjBXSoCAABHBAAADgAAAAAAAAABACAAAAAnAQAAZHJzL2Uyb0RvYy54bWxQSwUG&#10;AAAAAAYABgBZAQAAwwU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合规与风险管理部</w:t>
                    </w:r>
                  </w:p>
                  <w:p>
                    <w:pPr>
                      <w:jc w:val="center"/>
                      <w:rPr>
                        <w:rFonts w:ascii="Calibri" w:hAnsi="Calibri"/>
                      </w:rPr>
                    </w:pPr>
                  </w:p>
                </w:txbxContent>
              </v:textbox>
            </v:roundrect>
            <v:roundrect id="圆角矩形 16" o:spid="_x0000_s1042" o:spt="2" style="position:absolute;left:5080;top:1841500;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Jw84HYAAAACQEAAA8AAAAAAAAAAQAgAAAAIgAAAGRycy9kb3ducmV2LnhtbFBLAQIUABQA&#10;AAAIAIdO4kBikD/OKQIAAEcEAAAOAAAAAAAAAAEAIAAAACcBAABkcnMvZTJvRG9jLnhtbFBLBQYA&#10;AAAABgAGAFkBAADCBQ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普惠金融部</w:t>
                    </w:r>
                  </w:p>
                  <w:p>
                    <w:pPr>
                      <w:rPr>
                        <w:rFonts w:ascii="Calibri" w:hAnsi="Calibri"/>
                      </w:rPr>
                    </w:pPr>
                  </w:p>
                </w:txbxContent>
              </v:textbox>
            </v:roundrect>
            <v:roundrect id="圆角矩形 20" o:spid="_x0000_s1043" o:spt="2" style="position:absolute;left:5080;top:2197735;height:307975;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nDzgdgAAAAJAQAADwAAAAAAAAABACAAAAAiAAAAZHJzL2Rvd25yZXYueG1sUEsBAhQA&#10;FAAAAAgAh07iQCvojg8rAgAARwQAAA4AAAAAAAAAAQAgAAAAJwEAAGRycy9lMm9Eb2MueG1sUEsF&#10;BgAAAAAGAAYAWQEAAMQFAAAAAA==&#10;">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rPr>
                      <w:t>审计部（纪委办公室）</w:t>
                    </w:r>
                  </w:p>
                </w:txbxContent>
              </v:textbox>
            </v:roundrect>
            <v:roundrect id="圆角矩形 21" o:spid="_x0000_s1044" o:spt="2" style="position:absolute;left:5080;top:2569210;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ycPOB2AAAAAkBAAAPAAAAAAAAAAEAIAAAACIAAABkcnMvZG93bnJldi54bWxQSwECFAAU&#10;AAAACACHTuJAkZ7PgSoCAABHBAAADgAAAAAAAAABACAAAAAnAQAAZHJzL2Uyb0RvYy54bWxQSwUG&#10;AAAAAAYABgBZAQAAwwUAAAAA&#10;">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rPr>
                      <w:t>安全保卫部</w:t>
                    </w:r>
                  </w:p>
                </w:txbxContent>
              </v:textbox>
            </v:roundrect>
            <v:roundrect id="圆角矩形 22" o:spid="_x0000_s1045" o:spt="2" style="position:absolute;left:5080;top:2922270;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nDzgdgAAAAJAQAADwAAAAAAAAABACAAAAAiAAAAZHJzL2Rvd25yZXYueG1sUEsBAhQA&#10;FAAAAAgAh07iQEiA2o8rAgAARwQAAA4AAAAAAAAAAQAgAAAAJwEAAGRycy9lMm9Eb2MueG1sUEsF&#10;BgAAAAAGAAYAWQEAAMQFAAAAAA==&#10;">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rPr>
                      <w:t>信息科技部</w:t>
                    </w:r>
                  </w:p>
                </w:txbxContent>
              </v:textbox>
            </v:roundrect>
            <v:roundrect id="圆角矩形 23" o:spid="_x0000_s1046" o:spt="2" style="position:absolute;left:5080;top:3294380;height:307975;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w84HYAAAACQEAAA8AAAAAAAAAAQAgAAAAIgAAAGRycy9kb3ducmV2LnhtbFBLAQIU&#10;ABQAAAAIAIdO4kBKTWBjLAIAAEcEAAAOAAAAAAAAAAEAIAAAACcBAABkcnMvZTJvRG9jLnhtbFBL&#10;BQYAAAAABgAGAFkBAADFBQ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金融市场部</w:t>
                    </w:r>
                  </w:p>
                  <w:p/>
                </w:txbxContent>
              </v:textbox>
            </v:roundrect>
            <v:roundrect id="圆角矩形 24" o:spid="_x0000_s1047" o:spt="2" style="position:absolute;left:5080;top:3667125;height:30861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nDzgdgAAAAJAQAADwAAAAAAAAABACAAAAAiAAAAZHJzL2Rvd25yZXYueG1sUEsBAhQA&#10;FAAAAAgAh07iQDBxD2crAgAARwQAAA4AAAAAAAAAAQAgAAAAJwEAAGRycy9lMm9Eb2MueG1sUEsF&#10;BgAAAAAGAAYAWQEAAMQ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营业部</w:t>
                    </w:r>
                  </w:p>
                </w:txbxContent>
              </v:textbox>
            </v:roundrect>
            <v:roundrect id="圆角矩形 25" o:spid="_x0000_s1048" o:spt="2" style="position:absolute;left:5080;top:4048125;height:307975;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w84HYAAAACQEAAA8AAAAAAAAAAQAgAAAAIgAAAGRycy9kb3ducmV2LnhtbFBLAQIU&#10;ABQAAAAIAIdO4kAIXcuVLAIAAEcEAAAOAAAAAAAAAAEAIAAAACcBAABkcnMvZTJvRG9jLnhtbFBL&#10;BQYAAAAABgAGAFkBAADFBQAAAAA=&#10;">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eastAsia="宋体"/>
                        <w:lang w:val="en-US" w:eastAsia="zh-CN"/>
                      </w:rPr>
                    </w:pPr>
                    <w:r>
                      <w:rPr>
                        <w:rFonts w:hint="eastAsia" w:ascii="Calibri" w:hAnsi="Calibri"/>
                        <w:lang w:val="en-US" w:eastAsia="zh-CN"/>
                      </w:rPr>
                      <w:t>城北社</w:t>
                    </w:r>
                  </w:p>
                </w:txbxContent>
              </v:textbox>
            </v:roundrect>
            <v:roundrect id="圆角矩形 26" o:spid="_x0000_s1049" o:spt="2" style="position:absolute;left:4209415;top:1409700;height:307975;width:156400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nDzgdgAAAAJAQAADwAAAAAAAAABACAAAAAiAAAAZHJzL2Rvd25yZXYueG1sUEsB&#10;AhQAFAAAAAgAh07iQDIRHXIuAgAASgQAAA4AAAAAAAAAAQAgAAAAJwEAAGRycy9lMm9Eb2MueG1s&#10;UEsFBgAAAAAGAAYAWQEAAMc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关联</w:t>
                    </w:r>
                    <w:r>
                      <w:rPr>
                        <w:rFonts w:ascii="Calibri" w:hAnsi="Calibri"/>
                      </w:rPr>
                      <w:t>交易控制委员会</w:t>
                    </w:r>
                  </w:p>
                  <w:p>
                    <w:pPr>
                      <w:rPr>
                        <w:rFonts w:ascii="Calibri" w:hAnsi="Calibri"/>
                      </w:rPr>
                    </w:pPr>
                  </w:p>
                </w:txbxContent>
              </v:textbox>
            </v:roundrect>
            <v:roundrect id="圆角矩形 31" o:spid="_x0000_s1050" o:spt="2" style="position:absolute;left:5080;top:4397375;height:307340;width:1580515;"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ycPOB2AAAAAkBAAAPAAAAAAAAAAEAIAAAACIAAABkcnMvZG93bnJldi54bWxQSwEC&#10;FAAUAAAACACHTuJA+majmC0CAABHBAAADgAAAAAAAAABACAAAAAnAQAAZHJzL2Uyb0RvYy54bWxQ&#10;SwUGAAAAAAYABgBZAQAAxgUAAAAA&#10;">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eastAsia="宋体"/>
                        <w:lang w:eastAsia="zh-CN"/>
                      </w:rPr>
                    </w:pPr>
                    <w:r>
                      <w:rPr>
                        <w:rFonts w:hint="eastAsia" w:ascii="Calibri" w:hAnsi="Calibri"/>
                        <w:lang w:eastAsia="zh-CN"/>
                      </w:rPr>
                      <w:t>城郊社</w:t>
                    </w:r>
                  </w:p>
                </w:txbxContent>
              </v:textbox>
            </v:roundrect>
            <v:shape id="肘形连接符 33" o:spid="_x0000_s1051" o:spt="33" type="#_x0000_t33" style="position:absolute;left:3656936;top:2142461;flip:x;height:466725;width:625475;rotation:5898240f;" filled="f" stroked="t" coordsize="21600,21600" o:gfxdata="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FfmdNkAAAAJAQAADwAAAAAAAAABACAA&#10;AAAiAAAAZHJzL2Rvd25yZXYueG1sUEsBAhQAFAAAAAgAh07iQHgE9bUMAgAAzQMAAA4AAAAAAAAA&#10;AQAgAAAAKAEAAGRycy9lMm9Eb2MueG1sUEsFBgAAAAAGAAYAWQEAAKYFAAAAAA==&#10;">
              <v:path arrowok="t"/>
              <v:fill on="f" focussize="0,0"/>
              <v:stroke color="#000000" joinstyle="miter" endarrow="block"/>
              <v:imagedata o:title=""/>
              <o:lock v:ext="edit" aspectratio="f"/>
            </v:shape>
            <v:shape id="肘形连接符 34" o:spid="_x0000_s1052" o:spt="33" type="#_x0000_t33" style="position:absolute;left:3707736;top:1842106;flip:x;height:466725;width:531495;rotation:5898240f;" filled="f" stroked="t" coordsize="21600,21600" o:gfxdata="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sV+Z02QAAAAkBAAAPAAAAAAAAAAEAIAAA&#10;ACIAAABkcnMvZG93bnJldi54bWxQSwECFAAUAAAACACHTuJAwEXqjQsCAADNAwAADgAAAAAAAAAB&#10;ACAAAAAoAQAAZHJzL2Uyb0RvYy54bWxQSwUGAAAAAAYABgBZAQAApQUAAAAA&#10;">
              <v:path arrowok="t"/>
              <v:fill on="f" focussize="0,0"/>
              <v:stroke color="#000000" joinstyle="miter" endarrow="block"/>
              <v:imagedata o:title=""/>
              <o:lock v:ext="edit" aspectratio="f"/>
            </v:shape>
            <v:shape id="肘形连接符 35" o:spid="_x0000_s1053" o:spt="33" type="#_x0000_t33" style="position:absolute;left:3750281;top:1493491;flip:x;height:466725;width:438785;rotation:5898240f;" filled="f" stroked="t" coordsize="21600,21600" o:gfxdata="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sV+Z02QAAAAkBAAAPAAAAAAAAAAEAIAAA&#10;ACIAAABkcnMvZG93bnJldi54bWxQSwECFAAUAAAACACHTuJA3kospQsCAADNAwAADgAAAAAAAAAB&#10;ACAAAAAoAQAAZHJzL2Uyb0RvYy54bWxQSwUGAAAAAAYABgBZAQAApQUAAAAA&#10;">
              <v:path arrowok="t"/>
              <v:fill on="f" focussize="0,0"/>
              <v:stroke color="#000000" joinstyle="miter" endarrow="block"/>
              <v:imagedata o:title=""/>
              <o:lock v:ext="edit" aspectratio="f"/>
            </v:shape>
            <v:line id="直接连接符 38" o:spid="_x0000_s1054" o:spt="20" style="position:absolute;left:2915920;top:269240;flip:x;height:1527175;width:381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eXjnRvgBAAC0AwAADgAAAAAAAAABACAAAAApAQAAZHJzL2Uyb0Rv&#10;Yy54bWxQSwUGAAAAAAYABgBZAQAAkwUAAAAA&#10;">
              <v:path arrowok="t"/>
              <v:fill on="f" focussize="0,0"/>
              <v:stroke color="#000000" endarrow="block"/>
              <v:imagedata o:title=""/>
              <o:lock v:ext="edit" aspectratio="f"/>
            </v:line>
            <v:line id="直接连接符 39" o:spid="_x0000_s1055" o:spt="20" style="position:absolute;left:2915920;top:437515;flip:x;height:635;width:1104900;" filled="f" stroked="t" coordsize="21600,21600" o:gfxdata="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GQ58TYAAAACQEAAA8AAAAAAAAAAQAgAAAAIgAAAGRycy9kb3ducmV2LnhtbFBLAQIU&#10;ABQAAAAIAIdO4kANh97i8wEAAK8DAAAOAAAAAAAAAAEAIAAAACcBAABkcnMvZTJvRG9jLnhtbFBL&#10;BQYAAAAABgAGAFkBAACMBQAAAAA=&#10;">
              <v:path arrowok="t"/>
              <v:fill on="f" focussize="0,0"/>
              <v:stroke color="#000000"/>
              <v:imagedata o:title=""/>
              <o:lock v:ext="edit" aspectratio="f"/>
            </v:line>
            <v:line id="直接连接符 40" o:spid="_x0000_s1056" o:spt="20" style="position:absolute;left:4020185;top:447675;height:187960;width:635;"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j3fYdoAAAAJAQAADwAAAAAAAAABACAAAAAiAAAAZHJzL2Rvd25yZXYueG1sUEsBAhQAFAAA&#10;AAgAh07iQDpfG5LtAQAAqAMAAA4AAAAAAAAAAQAgAAAAKQEAAGRycy9lMm9Eb2MueG1sUEsFBgAA&#10;AAAGAAYAWQEAAIgFAAAAAA==&#10;">
              <v:path arrowok="t"/>
              <v:fill on="f" focussize="0,0"/>
              <v:stroke color="#000000" endarrow="block"/>
              <v:imagedata o:title=""/>
              <o:lock v:ext="edit" aspectratio="f"/>
            </v:line>
            <v:line id="直接连接符 41" o:spid="_x0000_s1057" o:spt="20" style="position:absolute;left:2915920;top:2089150;height:2376170;width:381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j3fYdoAAAAJAQAADwAAAAAAAAABACAAAAAiAAAAZHJzL2Rvd25yZXYueG1sUEsBAhQA&#10;FAAAAAgAh07iQGuZeqLwAQAAqwMAAA4AAAAAAAAAAQAgAAAAKQEAAGRycy9lMm9Eb2MueG1sUEsF&#10;BgAAAAAGAAYAWQEAAIsFAAAAAA==&#10;">
              <v:path arrowok="t"/>
              <v:fill on="f" focussize="0,0"/>
              <v:stroke color="#000000" endarrow="block"/>
              <v:imagedata o:title=""/>
              <o:lock v:ext="edit" aspectratio="f"/>
            </v:line>
            <v:line id="直接连接符 42" o:spid="_x0000_s1058" o:spt="20" style="position:absolute;left:3872864;top:4949824;height:635;width:349885;"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o932HaAAAACQEAAA8AAAAAAAAAAQAgAAAAIgAAAGRycy9kb3ducmV2LnhtbFBLAQIU&#10;ABQAAAAIAIdO4kDhUzxs8QEAAKkDAAAOAAAAAAAAAAEAIAAAACkBAABkcnMvZTJvRG9jLnhtbFBL&#10;BQYAAAAABgAGAFkBAACMBQAAAAA=&#10;">
              <v:path arrowok="t"/>
              <v:fill on="f" focussize="0,0"/>
              <v:stroke color="#000000" endarrow="block"/>
              <v:imagedata o:title=""/>
              <o:lock v:ext="edit" aspectratio="f"/>
            </v:line>
            <v:line id="直接连接符 43" o:spid="_x0000_s1059" o:spt="20" style="position:absolute;left:3871594;top:5365114;height:635;width:349885;"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j3fYdoAAAAJAQAADwAAAAAAAAABACAAAAAiAAAAZHJzL2Rvd25yZXYueG1sUEsBAhQA&#10;FAAAAAgAh07iQEefwOLwAQAAqQMAAA4AAAAAAAAAAQAgAAAAKQEAAGRycy9lMm9Eb2MueG1sUEsF&#10;BgAAAAAGAAYAWQEAAIsFAAAAAA==&#10;">
              <v:path arrowok="t"/>
              <v:fill on="f" focussize="0,0"/>
              <v:stroke color="#000000" endarrow="block"/>
              <v:imagedata o:title=""/>
              <o:lock v:ext="edit" aspectratio="f"/>
            </v:line>
            <v:line id="直接连接符 51" o:spid="_x0000_s1060" o:spt="20" style="position:absolute;left:1572895;top:458343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Am+IiF9wEAALMDAAAOAAAAAAAAAAEAIAAAACkBAABkcnMvZTJvRG9j&#10;LnhtbFBLBQYAAAAABgAGAFkBAACSBQAAAAA=&#10;">
              <v:path arrowok="t"/>
              <v:fill on="f" focussize="0,0"/>
              <v:stroke color="#000000" endarrow="block"/>
              <v:imagedata o:title=""/>
              <o:lock v:ext="edit" aspectratio="f"/>
            </v:line>
            <v:line id="直接连接符 52" o:spid="_x0000_s1061" o:spt="20" style="position:absolute;left:1572895;top:4206875;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h+2atoAAAAJAQAADwAAAAAAAAABACAAAAAiAAAAZHJzL2Rvd25y&#10;ZXYueG1sUEsBAhQAFAAAAAgAh07iQHUBs+X8AQAAswMAAA4AAAAAAAAAAQAgAAAAKQEAAGRycy9l&#10;Mm9Eb2MueG1sUEsFBgAAAAAGAAYAWQEAAJcFAAAAAA==&#10;">
              <v:path arrowok="t"/>
              <v:fill on="f" focussize="0,0"/>
              <v:stroke color="#000000" endarrow="block"/>
              <v:imagedata o:title=""/>
              <o:lock v:ext="edit" aspectratio="f"/>
            </v:line>
            <v:line id="直接连接符 53" o:spid="_x0000_s1062" o:spt="20" style="position:absolute;left:1572895;top:382905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LC97ZfgBAACzAwAADgAAAAAAAAABACAAAAApAQAAZHJzL2Uyb0Rv&#10;Yy54bWxQSwUGAAAAAAYABgBZAQAAkwUAAAAA&#10;">
              <v:path arrowok="t"/>
              <v:fill on="f" focussize="0,0"/>
              <v:stroke color="#000000" endarrow="block"/>
              <v:imagedata o:title=""/>
              <o:lock v:ext="edit" aspectratio="f"/>
            </v:line>
            <v:line id="直接连接符 54" o:spid="_x0000_s1063" o:spt="20" style="position:absolute;left:1572895;top:345186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FUA3CvgBAACzAwAADgAAAAAAAAABACAAAAApAQAAZHJzL2Uyb0Rv&#10;Yy54bWxQSwUGAAAAAAYABgBZAQAAkwUAAAAA&#10;">
              <v:path arrowok="t"/>
              <v:fill on="f" focussize="0,0"/>
              <v:stroke color="#000000" endarrow="block"/>
              <v:imagedata o:title=""/>
              <o:lock v:ext="edit" aspectratio="f"/>
            </v:line>
            <v:line id="直接连接符 55" o:spid="_x0000_s1064" o:spt="20" style="position:absolute;left:1572895;top:3074035;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oftmraAAAACQEAAA8AAAAAAAAAAQAgAAAAIgAAAGRycy9kb3ducmV2&#10;LnhtbFBLAQIUABQAAAAIAIdO4kDDQ9UR+gEAALMDAAAOAAAAAAAAAAEAIAAAACkBAABkcnMvZTJv&#10;RG9jLnhtbFBLBQYAAAAABgAGAFkBAACVBQAAAAA=&#10;">
              <v:path arrowok="t"/>
              <v:fill on="f" focussize="0,0"/>
              <v:stroke color="#000000" endarrow="block"/>
              <v:imagedata o:title=""/>
              <o:lock v:ext="edit" aspectratio="f"/>
            </v:line>
            <v:line id="直接连接符 56" o:spid="_x0000_s1065" o:spt="20" style="position:absolute;left:1572895;top:269621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6VljyPgBAACzAwAADgAAAAAAAAABACAAAAApAQAAZHJzL2Uyb0Rv&#10;Yy54bWxQSwUGAAAAAAYABgBZAQAAkwUAAAAA&#10;">
              <v:path arrowok="t"/>
              <v:fill on="f" focussize="0,0"/>
              <v:stroke color="#000000" endarrow="block"/>
              <v:imagedata o:title=""/>
              <o:lock v:ext="edit" aspectratio="f"/>
            </v:line>
            <v:line id="直接连接符 57" o:spid="_x0000_s1066" o:spt="20" style="position:absolute;left:1572895;top:2347595;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h+2atoAAAAJAQAADwAAAAAAAAABACAAAAAiAAAAZHJzL2Rvd25yZXYu&#10;eG1sUEsBAhQAFAAAAAgAh07iQJdTRgj5AQAAswMAAA4AAAAAAAAAAQAgAAAAKQEAAGRycy9lMm9E&#10;b2MueG1sUEsFBgAAAAAGAAYAWQEAAJQFAAAAAA==&#10;">
              <v:path arrowok="t"/>
              <v:fill on="f" focussize="0,0"/>
              <v:stroke color="#000000" endarrow="block"/>
              <v:imagedata o:title=""/>
              <o:lock v:ext="edit" aspectratio="f"/>
            </v:line>
            <v:line id="直接连接符 58" o:spid="_x0000_s1067" o:spt="20" style="position:absolute;left:1572895;top:197993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CwD9xF9wEAALMDAAAOAAAAAAAAAAEAIAAAACkBAABkcnMvZTJvRG9j&#10;LnhtbFBLBQYAAAAABgAGAFkBAACSBQAAAAA=&#10;">
              <v:path arrowok="t"/>
              <v:fill on="f" focussize="0,0"/>
              <v:stroke color="#000000" endarrow="block"/>
              <v:imagedata o:title=""/>
              <o:lock v:ext="edit" aspectratio="f"/>
            </v:line>
            <v:line id="直接连接符 59" o:spid="_x0000_s1068" o:spt="20" style="position:absolute;left:1572895;top:1657985;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oftmraAAAACQEAAA8AAAAAAAAAAQAgAAAAIgAAAGRycy9kb3ducmV2&#10;LnhtbFBLAQIUABQAAAAIAIdO4kCOFJd0+gEAALMDAAAOAAAAAAAAAAEAIAAAACkBAABkcnMvZTJv&#10;RG9jLnhtbFBLBQYAAAAABgAGAFkBAACVBQAAAAA=&#10;">
              <v:path arrowok="t"/>
              <v:fill on="f" focussize="0,0"/>
              <v:stroke color="#000000" endarrow="block"/>
              <v:imagedata o:title=""/>
              <o:lock v:ext="edit" aspectratio="f"/>
            </v:line>
            <v:line id="直接连接符 60" o:spid="_x0000_s1069" o:spt="20" style="position:absolute;left:1572895;top:128143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DZDHSV9wEAALMDAAAOAAAAAAAAAAEAIAAAACkBAABkcnMvZTJvRG9j&#10;LnhtbFBLBQYAAAAABgAGAFkBAACSBQAAAAA=&#10;">
              <v:path arrowok="t"/>
              <v:fill on="f" focussize="0,0"/>
              <v:stroke color="#000000" endarrow="block"/>
              <v:imagedata o:title=""/>
              <o:lock v:ext="edit" aspectratio="f"/>
            </v:line>
            <v:line id="直接连接符 61" o:spid="_x0000_s1070" o:spt="20" style="position:absolute;left:1572895;top:903605;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x4X42vgBAACyAwAADgAAAAAAAAABACAAAAApAQAAZHJzL2Uyb0Rv&#10;Yy54bWxQSwUGAAAAAAYABgBZAQAAkwUAAAAA&#10;">
              <v:path arrowok="t"/>
              <v:fill on="f" focussize="0,0"/>
              <v:stroke color="#000000" endarrow="block"/>
              <v:imagedata o:title=""/>
              <o:lock v:ext="edit" aspectratio="f"/>
            </v:line>
            <v:line id="直接连接符 62" o:spid="_x0000_s1071" o:spt="20" style="position:absolute;left:1572895;top:52578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DTr34t9wEAALIDAAAOAAAAAAAAAAEAIAAAACkBAABkcnMvZTJvRG9j&#10;LnhtbFBLBQYAAAAABgAGAFkBAACSBQAAAAA=&#10;">
              <v:path arrowok="t"/>
              <v:fill on="f" focussize="0,0"/>
              <v:stroke color="#000000" endarrow="block"/>
              <v:imagedata o:title=""/>
              <o:lock v:ext="edit" aspectratio="f"/>
            </v:line>
            <v:line id="直接连接符 63" o:spid="_x0000_s1072" o:spt="20" style="position:absolute;left:1572895;top:148590;flip:x;height:635;width:46609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h+2atoAAAAJAQAADwAAAAAAAAABACAAAAAiAAAAZHJzL2Rvd25yZXYueG1s&#10;UEsBAhQAFAAAAAgAh07iQMYhLy72AQAAsgMAAA4AAAAAAAAAAQAgAAAAKQEAAGRycy9lMm9Eb2Mu&#10;eG1sUEsFBgAAAAAGAAYAWQEAAJEFAAAAAA==&#10;">
              <v:path arrowok="t"/>
              <v:fill on="f" focussize="0,0"/>
              <v:stroke color="#000000" endarrow="block"/>
              <v:imagedata o:title=""/>
              <o:lock v:ext="edit" aspectratio="f"/>
            </v:line>
            <v:line id="直接连接符 64" o:spid="_x0000_s1073" o:spt="20" style="position:absolute;left:2051050;top:4583430;flip:y;height:2540;width:396875;" filled="f" stroked="t" coordsize="21600,21600" o:gfxdata="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BkOfE2AAAAAkBAAAPAAAAAAAAAAEAIAAAACIAAABkcnMvZG93bnJldi54bWxQSwEC&#10;FAAUAAAACACHTuJA0feMJvQBAACwAwAADgAAAAAAAAABACAAAAAnAQAAZHJzL2Uyb0RvYy54bWxQ&#10;SwUGAAAAAAYABgBZAQAAjQUAAAAA&#10;">
              <v:path arrowok="t"/>
              <v:fill on="f" focussize="0,0"/>
              <v:stroke color="#000000"/>
              <v:imagedata o:title=""/>
              <o:lock v:ext="edit" aspectratio="f"/>
            </v:line>
            <v:line id="直接连接符 66" o:spid="_x0000_s1074" o:spt="20" style="position:absolute;left:3891914;top:6254114;height:635;width:349885;"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KPd9h2gAAAAkBAAAPAAAAAAAAAAEAIAAAACIAAABkcnMvZG93bnJldi54bWxQSwECFAAUAAAA&#10;CACHTuJAFpA3oewBAACpAwAADgAAAAAAAAABACAAAAApAQAAZHJzL2Uyb0RvYy54bWxQSwUGAAAA&#10;AAYABgBZAQAAhwUAAAAA&#10;">
              <v:path arrowok="t"/>
              <v:fill on="f" focussize="0,0"/>
              <v:stroke color="#000000" endarrow="block"/>
              <v:imagedata o:title=""/>
              <o:lock v:ext="edit" aspectratio="f"/>
            </v:line>
            <v:line id="直接连接符 67" o:spid="_x0000_s1075" o:spt="20" style="position:absolute;left:3885564;top:6704963;height:635;width:349885;"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j3fYdoAAAAJAQAADwAAAAAAAAABACAAAAAiAAAAZHJzL2Rvd25yZXYueG1sUEsBAhQAFAAA&#10;AAgAh07iQEGClXPtAQAAqQMAAA4AAAAAAAAAAQAgAAAAKQEAAGRycy9lMm9Eb2MueG1sUEsFBgAA&#10;AAAGAAYAWQEAAIgFAAAAAA==&#10;">
              <v:path arrowok="t"/>
              <v:fill on="f" focussize="0,0"/>
              <v:stroke color="#000000" endarrow="block"/>
              <v:imagedata o:title=""/>
              <o:lock v:ext="edit" aspectratio="f"/>
            </v:line>
            <v:line id="直接连接符 76" o:spid="_x0000_s1076" o:spt="20" style="position:absolute;left:3887469;top:5833744;height:635;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j3fYdoAAAAJAQAADwAAAAAAAAABACAAAAAiAAAAZHJzL2Rvd25yZXYueG1sUEsB&#10;AhQAFAAAAAgAh07iQGGncPLzAQAAqQMAAA4AAAAAAAAAAQAgAAAAKQEAAGRycy9lMm9Eb2MueG1s&#10;UEsFBgAAAAAGAAYAWQEAAI4FAAAAAA==&#10;">
              <v:path arrowok="t"/>
              <v:fill on="f" focussize="0,0"/>
              <v:stroke color="#000000" endarrow="block"/>
              <v:imagedata o:title=""/>
              <o:lock v:ext="edit" aspectratio="f"/>
            </v:line>
            <v:line id="直接连接符 78" o:spid="_x0000_s1077" o:spt="20" style="position:absolute;left:3901439;top:7094218;height:635;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o932HaAAAACQEAAA8AAAAAAAAAAQAgAAAAIgAAAGRycy9kb3ducmV2LnhtbFBLAQIU&#10;ABQAAAAIAIdO4kCelAQt8QEAAKkDAAAOAAAAAAAAAAEAIAAAACkBAABkcnMvZTJvRG9jLnhtbFBL&#10;BQYAAAAABgAGAFkBAACMBQAAAAA=&#10;">
              <v:path arrowok="t"/>
              <v:fill on="f" focussize="0,0"/>
              <v:stroke color="#000000" endarrow="block"/>
              <v:imagedata o:title=""/>
              <o:lock v:ext="edit" aspectratio="f"/>
            </v:line>
            <v:line id="直接连接符 79" o:spid="_x0000_s1078" o:spt="20" style="position:absolute;left:3366770;top:1939290;flip:y;height:2540;width:372110;" filled="f" stroked="t" coordsize="21600,21600" o:gfxdata="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ZDnxNgAAAAJAQAADwAAAAAAAAABACAAAAAiAAAAZHJzL2Rvd25yZXYueG1sUEsBAhQA&#10;FAAAAAgAh07iQLNj4UvyAQAAsAMAAA4AAAAAAAAAAQAgAAAAJwEAAGRycy9lMm9Eb2MueG1sUEsF&#10;BgAAAAAGAAYAWQEAAIsFAAAAAA==&#10;">
              <v:path arrowok="t"/>
              <v:fill on="f" focussize="0,0"/>
              <v:stroke color="#000000"/>
              <v:imagedata o:title=""/>
              <o:lock v:ext="edit" aspectratio="f"/>
            </v:line>
            <v:line id="直接连接符 80" o:spid="_x0000_s1079" o:spt="20" style="position:absolute;left:3882389;top:4514213;height:635;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KPd9h2gAAAAkBAAAPAAAAAAAAAAEAIAAAACIAAABkcnMvZG93bnJldi54bWxQSwEC&#10;FAAUAAAACACHTuJAPAw9yfIBAACpAwAADgAAAAAAAAABACAAAAApAQAAZHJzL2Uyb0RvYy54bWxQ&#10;SwUGAAAAAAYABgBZAQAAjQUAAAAA&#10;">
              <v:path arrowok="t"/>
              <v:fill on="f" focussize="0,0"/>
              <v:stroke color="#000000" endarrow="block"/>
              <v:imagedata o:title=""/>
              <o:lock v:ext="edit" aspectratio="f"/>
            </v:line>
            <v:shape id="肘形连接符 86" o:spid="_x0000_s1080" o:spt="33" type="#_x0000_t33" style="position:absolute;left:3613121;top:2815561;flip:x;height:466725;width:720725;rotation:5898240f;" filled="f" stroked="t" coordsize="21600,21600">
              <v:path arrowok="t"/>
              <v:fill on="f" focussize="0,0"/>
              <v:stroke color="#000000" joinstyle="miter" endarrow="block"/>
              <v:imagedata o:title=""/>
              <o:lock v:ext="edit" aspectratio="f"/>
            </v:shape>
            <v:roundrect id="圆角矩形 91" o:spid="_x0000_s1081" o:spt="2" style="position:absolute;left:4238624;top:4308474;height:400050;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w84HYAAAACQEAAA8AAAAAAAAAAQAgAAAAIgAAAGRycy9kb3ducmV2LnhtbFBLAQIU&#10;ABQAAAAIAIdO4kBawtgbLAIAAEoEAAAOAAAAAAAAAAEAIAAAACcBAABkcnMvZTJvRG9jLnhtbFBL&#10;BQYAAAAABgAGAFkBAADFBQAAAAA=&#10;">
              <v:path/>
              <v:fill on="t" color2="#FFFFFF" focussize="0,0"/>
              <v:stroke color="#000000"/>
              <v:imagedata o:title=""/>
              <o:lock v:ext="edit" aspectratio="f"/>
              <v:textbox inset="7.3440157480315pt,3.67196850393701pt,7.3440157480315pt,3.67196850393701pt">
                <w:txbxContent>
                  <w:p>
                    <w:pPr>
                      <w:rPr>
                        <w:rFonts w:ascii="Calibri" w:hAnsi="Calibri"/>
                        <w:sz w:val="18"/>
                        <w:szCs w:val="18"/>
                      </w:rPr>
                    </w:pPr>
                    <w:r>
                      <w:rPr>
                        <w:rFonts w:hint="eastAsia" w:ascii="Calibri" w:hAnsi="Calibri"/>
                        <w:sz w:val="18"/>
                        <w:szCs w:val="18"/>
                      </w:rPr>
                      <w:t>资金业务授信审批委员会</w:t>
                    </w:r>
                  </w:p>
                  <w:p>
                    <w:pPr>
                      <w:rPr>
                        <w:rFonts w:ascii="Calibri" w:hAnsi="Calibri"/>
                      </w:rPr>
                    </w:pPr>
                  </w:p>
                </w:txbxContent>
              </v:textbox>
            </v:roundrect>
            <v:roundrect id="圆角矩形 92" o:spid="_x0000_s1082" o:spt="2" style="position:absolute;left:4238624;top:5654039;height:361950;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nDzgdgAAAAJAQAADwAAAAAAAAABACAAAAAiAAAAZHJzL2Rvd25yZXYueG1sUEsB&#10;AhQAFAAAAAgAh07iQF6zXk0uAgAASgQAAA4AAAAAAAAAAQAgAAAAJwEAAGRycy9lMm9Eb2MueG1s&#10;UEsFBgAAAAAGAAYAWQEAAMc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特殊资产处置委员会</w:t>
                    </w:r>
                  </w:p>
                </w:txbxContent>
              </v:textbox>
            </v:roundrect>
            <v:roundrect id="圆角矩形 93" o:spid="_x0000_s1083" o:spt="2" style="position:absolute;left:4239259;top:6069329;height:361950;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w84HYAAAACQEAAA8AAAAAAAAAAQAgAAAAIgAAAGRycy9kb3ducmV2LnhtbFBLAQIU&#10;ABQAAAAIAIdO4kD1E4UDLAIAAEoEAAAOAAAAAAAAAAEAIAAAACcBAABkcnMvZTJvRG9jLnhtbFBL&#10;BQYAAAAABgAGAFkBAADFBQ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合规管理委员会</w:t>
                    </w:r>
                  </w:p>
                  <w:p>
                    <w:pPr>
                      <w:rPr>
                        <w:rFonts w:ascii="Calibri" w:hAnsi="Calibri"/>
                      </w:rPr>
                    </w:pPr>
                  </w:p>
                </w:txbxContent>
              </v:textbox>
            </v:roundrect>
            <v:roundrect id="圆角矩形 94" o:spid="_x0000_s1084" o:spt="2" style="position:absolute;left:4238624;top:6541134;height:307974;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Jw84HYAAAACQEAAA8AAAAAAAAAAQAgAAAAIgAAAGRycy9kb3ducmV2LnhtbFBL&#10;AQIUABQAAAAIAIdO4kCK01+QLwIAAEoEAAAOAAAAAAAAAAEAIAAAACcBAABkcnMvZTJvRG9jLnht&#10;bFBLBQYAAAAABgAGAFkBAADIBQ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采购委员会</w:t>
                    </w:r>
                  </w:p>
                  <w:p>
                    <w:pPr>
                      <w:rPr>
                        <w:rFonts w:ascii="Calibri" w:hAnsi="Calibri"/>
                      </w:rPr>
                    </w:pPr>
                  </w:p>
                </w:txbxContent>
              </v:textbox>
            </v:roundrect>
            <v:roundrect id="圆角矩形 95" o:spid="_x0000_s1085" o:spt="2" style="position:absolute;left:4223384;top:4756784;height:339090;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w84HYAAAACQEAAA8AAAAAAAAAAQAgAAAAIgAAAGRycy9kb3ducmV2LnhtbFBLAQIU&#10;ABQAAAAIAIdO4kA3PuQLLAIAAEoEAAAOAAAAAAAAAAEAIAAAACcBAABkcnMvZTJvRG9jLnhtbFBL&#10;BQYAAAAABgAGAFkBAADFBQ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资金业务管理委员会</w:t>
                    </w:r>
                  </w:p>
                  <w:p>
                    <w:pPr>
                      <w:rPr>
                        <w:rFonts w:ascii="Calibri" w:hAnsi="Calibri"/>
                      </w:rPr>
                    </w:pPr>
                  </w:p>
                </w:txbxContent>
              </v:textbox>
            </v:roundrect>
            <v:roundrect id="圆角矩形 96" o:spid="_x0000_s1086" o:spt="2" style="position:absolute;left:4229734;top:5166359;height:392430;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nDzgdgAAAAJAQAADwAAAAAAAAABACAAAAAiAAAAZHJzL2Rvd25yZXYueG1sUEsB&#10;AhQAFAAAAAgAh07iQE2FMY8uAgAASgQAAA4AAAAAAAAAAQAgAAAAJwEAAGRycy9lMm9Eb2MueG1s&#10;UEsFBgAAAAAGAAYAWQEAAMc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sz w:val="18"/>
                        <w:szCs w:val="18"/>
                      </w:rPr>
                      <w:t>信息科技风险管</w:t>
                    </w:r>
                    <w:r>
                      <w:rPr>
                        <w:rFonts w:hint="eastAsia" w:ascii="Calibri" w:hAnsi="Calibri" w:eastAsia="宋体" w:cs="Times New Roman"/>
                        <w:sz w:val="18"/>
                        <w:szCs w:val="18"/>
                      </w:rPr>
                      <w:t>理委员会</w:t>
                    </w:r>
                  </w:p>
                  <w:p>
                    <w:pPr>
                      <w:rPr>
                        <w:rFonts w:ascii="Calibri" w:hAnsi="Calibri"/>
                      </w:rPr>
                    </w:pPr>
                  </w:p>
                </w:txbxContent>
              </v:textbox>
            </v:roundrect>
            <v:roundrect id="圆角矩形 97" o:spid="_x0000_s1087" o:spt="2" style="position:absolute;left:4238625;top:6950710;height:308610;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ycPOB2AAAAAkBAAAPAAAAAAAAAAEAIAAAACIAAABkcnMvZG93bnJldi54bWxQSwEC&#10;FAAUAAAACACHTuJAIsGv8C0CAABKBAAADgAAAAAAAAABACAAAAAnAQAAZHJzL2Uyb0RvYy54bWxQ&#10;SwUGAAAAAAYABgBZAQAAxgU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宋体" w:hAnsi="宋体"/>
                        <w:sz w:val="18"/>
                      </w:rPr>
                      <w:t>业务连续性管理委员</w:t>
                    </w:r>
                    <w:r>
                      <w:rPr>
                        <w:rFonts w:hint="eastAsia" w:ascii="宋体" w:hAnsi="宋体"/>
                        <w:sz w:val="20"/>
                        <w:szCs w:val="20"/>
                      </w:rPr>
                      <w:t>会</w:t>
                    </w:r>
                  </w:p>
                </w:txbxContent>
              </v:textbox>
            </v:roundrect>
            <v:line id="直接连接符 106" o:spid="_x0000_s1088" o:spt="20" style="position:absolute;left:3386455;top:4612005;flip:y;height:2540;width:471170;" filled="f" stroked="t" coordsize="21600,21600" o:gfxdata="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GQ58TYAAAACQEAAA8AAAAAAAAAAQAgAAAAIgAAAGRycy9kb3ducmV2LnhtbFBL&#10;AQIUABQAAAAIAIdO4kDElLQL9gEAALIDAAAOAAAAAAAAAAEAIAAAACcBAABkcnMvZTJvRG9jLnht&#10;bFBLBQYAAAAABgAGAFkBAACPBQAAAAA=&#10;">
              <v:path arrowok="t"/>
              <v:fill on="f" focussize="0,0"/>
              <v:stroke color="#000000"/>
              <v:imagedata o:title=""/>
              <o:lock v:ext="edit" aspectratio="f"/>
            </v:line>
            <v:line id="直接连接符 107" o:spid="_x0000_s1089" o:spt="20" style="position:absolute;left:3897629;top:7486012;height:635;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KPd9h2gAAAAkBAAAPAAAAAAAAAAEAIAAAACIAAABkcnMvZG93bnJldi54bWxQSwEC&#10;FAAUAAAACACHTuJA6ttN5fIBAACrAwAADgAAAAAAAAABACAAAAApAQAAZHJzL2Uyb0RvYy54bWxQ&#10;SwUGAAAAAAYABgBZAQAAjQUAAAAA&#10;">
              <v:path arrowok="t"/>
              <v:fill on="f" focussize="0,0"/>
              <v:stroke color="#000000" endarrow="block"/>
              <v:imagedata o:title=""/>
              <o:lock v:ext="edit" aspectratio="f"/>
            </v:line>
            <v:roundrect id="圆角矩形 108" o:spid="_x0000_s1090" o:spt="2" style="position:absolute;left:4242435;top:7313295;height:308610;width:151511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ycPOB2AAAAAkBAAAPAAAAAAAAAAEAIAAAACIAAABkcnMvZG93bnJldi54bWxQSwEC&#10;FAAUAAAACACHTuJA/OSRKS0CAABMBAAADgAAAAAAAAABACAAAAAnAQAAZHJzL2Uyb0RvYy54bWxQ&#10;SwUGAAAAAAYABgBZAQAAxgUAAAAA&#10;">
              <v:path/>
              <v:fill on="t" color2="#FFFFFF" focussize="0,0"/>
              <v:stroke color="#000000"/>
              <v:imagedata o:title=""/>
              <o:lock v:ext="edit" aspectratio="f"/>
              <v:textbox inset="7.3440157480315pt,3.67196850393701pt,7.3440157480315pt,3.67196850393701pt">
                <w:txbxContent>
                  <w:p>
                    <w:pPr>
                      <w:jc w:val="center"/>
                      <w:rPr>
                        <w:rFonts w:ascii="宋体" w:hAnsi="宋体"/>
                      </w:rPr>
                    </w:pPr>
                    <w:r>
                      <w:rPr>
                        <w:rFonts w:hint="eastAsia" w:ascii="宋体" w:hAnsi="宋体"/>
                        <w:bCs/>
                        <w:color w:val="000000"/>
                        <w:shd w:val="clear" w:color="auto" w:fill="FFFFFF"/>
                      </w:rPr>
                      <w:t>问责委员会</w:t>
                    </w:r>
                  </w:p>
                  <w:p>
                    <w:pPr>
                      <w:jc w:val="center"/>
                      <w:rPr>
                        <w:rFonts w:ascii="Calibri" w:hAnsi="Calibri"/>
                      </w:rPr>
                    </w:pPr>
                    <w:r>
                      <w:rPr>
                        <w:rFonts w:hint="eastAsia" w:ascii="仿宋_GB2312" w:eastAsia="仿宋_GB2312"/>
                        <w:sz w:val="32"/>
                        <w:szCs w:val="32"/>
                      </w:rPr>
                      <w:t>会</w:t>
                    </w:r>
                  </w:p>
                  <w:p>
                    <w:pPr>
                      <w:rPr>
                        <w:rFonts w:ascii="Calibri" w:hAnsi="Calibri"/>
                      </w:rPr>
                    </w:pPr>
                  </w:p>
                </w:txbxContent>
              </v:textbox>
            </v:roundrect>
            <v:shape id="肘形连接符 109" o:spid="_x0000_s1091" o:spt="33" type="#_x0000_t33" style="position:absolute;left:3604231;top:2478376;flip:x;height:466725;width:720725;rotation:5898240f;" filled="f" stroked="t" coordsize="21600,21600" o:gfxdata="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sV+Z02QAAAAkBAAAPAAAAAAAAAAEAIAAA&#10;ACIAAABkcnMvZG93bnJldi54bWxQSwECFAAUAAAACACHTuJA12Y2qwsCAADPAwAADgAAAAAAAAAB&#10;ACAAAAAoAQAAZHJzL2Uyb0RvYy54bWxQSwUGAAAAAAYABgBZAQAApQUAAAAA&#10;">
              <v:path arrowok="t"/>
              <v:fill on="f" focussize="0,0"/>
              <v:stroke color="#000000" joinstyle="miter" endarrow="block"/>
              <v:imagedata o:title=""/>
              <o:lock v:ext="edit" aspectratio="f"/>
            </v:shape>
            <v:line id="_x0000_s1092" o:spid="_x0000_s1092" o:spt="20" style="position:absolute;left:2037715;top:147320;flip:x;height:4434839;width:22860;" filled="f" stroked="t" coordsize="21600,21600">
              <v:path arrowok="t"/>
              <v:fill on="f" focussize="0,0"/>
              <v:stroke weight="1.25pt" color="#000000"/>
              <v:imagedata o:title=""/>
              <o:lock v:ext="edit" aspectratio="f"/>
            </v:line>
            <v:line id="_x0000_s1093" o:spid="_x0000_s1093" o:spt="20" style="position:absolute;left:3744595;top:1520825;flip:y;height:7620;width:433705;" filled="f" stroked="t" coordsize="21600,21600">
              <v:path arrowok="t"/>
              <v:fill on="f" focussize="0,0"/>
              <v:stroke weight="1.25pt" color="#000000" endarrow="open"/>
              <v:imagedata o:title=""/>
              <o:lock v:ext="edit" aspectratio="f"/>
            </v:line>
            <v:line id="_x0000_s1094" o:spid="_x0000_s1094" o:spt="20" style="position:absolute;left:3881755;top:4511674;height:2994024;width:7620;" filled="f" stroked="t" coordsize="21600,21600">
              <v:path arrowok="t"/>
              <v:fill on="f" focussize="0,0"/>
              <v:stroke weight="1.25pt" color="#000000"/>
              <v:imagedata o:title=""/>
              <o:lock v:ext="edit" aspectratio="f"/>
            </v:line>
            <v:line id="_x0000_s1095" o:spid="_x0000_s1095" o:spt="20" style="position:absolute;left:3735070;top:3385819;height:449580;width:7620;" filled="f" stroked="t" coordsize="21600,21600">
              <v:path arrowok="t"/>
              <v:fill on="f" focussize="0,0"/>
              <v:stroke weight="1.25pt" color="#000000"/>
              <v:imagedata o:title=""/>
              <o:lock v:ext="edit" aspectratio="f"/>
            </v:line>
            <v:line id="_x0000_s1096" o:spid="_x0000_s1096" o:spt="20" style="position:absolute;left:3750310;top:3812539;height:7620;width:411480;" filled="f" stroked="t" coordsize="21600,21600">
              <v:path arrowok="t"/>
              <v:fill on="f" focussize="0,0"/>
              <v:stroke weight="1.25pt" color="#000000" endarrow="open"/>
              <v:imagedata o:title=""/>
              <o:lock v:ext="edit" aspectratio="f"/>
            </v:line>
            <v:shape id="_x0000_s1097" o:spid="_x0000_s1097" o:spt="176" type="#_x0000_t176" style="position:absolute;left:4237989;top:3619499;height:297180;width:1577340;" fillcolor="#FFFFFF" filled="t" stroked="t" coordsize="21600,21600" adj="2700">
              <v:path/>
              <v:fill type="gradient" on="t" color2="#FFFFFF" angle="90" focus="0%" focussize="0f,0f" focusposition="0f,0f">
                <o:fill type="gradientUnscaled" v:ext="backwardCompatible"/>
              </v:fill>
              <v:stroke weight="1.25pt" color="#595959" joinstyle="miter"/>
              <v:imagedata o:title=""/>
              <o:lock v:ext="edit" aspectratio="f"/>
              <v:textbox>
                <w:txbxContent>
                  <w:p>
                    <w:pPr>
                      <w:jc w:val="center"/>
                      <w:rPr>
                        <w:rFonts w:hint="eastAsia"/>
                      </w:rPr>
                    </w:pPr>
                    <w:r>
                      <w:rPr>
                        <w:rFonts w:hint="eastAsia"/>
                      </w:rPr>
                      <w:t>审计委员会</w:t>
                    </w:r>
                  </w:p>
                </w:txbxContent>
              </v:textbox>
            </v:shape>
            <v:line id="_x0000_s1098" o:spid="_x0000_s1098" o:spt="20" style="position:absolute;left:2033270;top:4592954;flip:x;height:4043679;width:4445;" filled="f" stroked="t" coordsize="21600,21600">
              <v:path arrowok="t"/>
              <v:fill on="f" focussize="0,0"/>
              <v:stroke weight="1.25pt" color="#000000"/>
              <v:imagedata o:title=""/>
              <o:lock v:ext="edit" aspectratio="f"/>
            </v:line>
            <v:line id="直接连接符 51" o:spid="_x0000_s1099" o:spt="20" style="position:absolute;left:1576705;top:4963794;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Am+IiF9wEAALMDAAAOAAAAAAAAAAEAIAAAACkBAABkcnMvZTJvRG9j&#10;LnhtbFBLBQYAAAAABgAGAFkBAACSBQAAAAA=&#10;">
              <v:path arrowok="t"/>
              <v:fill on="f" focussize="0,0"/>
              <v:stroke color="#000000" endarrow="block"/>
              <v:imagedata o:title=""/>
              <o:lock v:ext="edit" aspectratio="f"/>
            </v:line>
            <v:line id="直接连接符 51" o:spid="_x0000_s1100" o:spt="20" style="position:absolute;left:1585595;top:5386704;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Am+IiF9wEAALMDAAAOAAAAAAAAAAEAIAAAACkBAABkcnMvZTJvRG9j&#10;LnhtbFBLBQYAAAAABgAGAFkBAACSBQAAAAA=&#10;">
              <v:path arrowok="t"/>
              <v:fill on="f" focussize="0,0"/>
              <v:stroke color="#000000" endarrow="block"/>
              <v:imagedata o:title=""/>
              <o:lock v:ext="edit" aspectratio="f"/>
            </v:line>
            <v:line id="直接连接符 51" o:spid="_x0000_s1101" o:spt="20" style="position:absolute;left:1576705;top:5716904;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Am+IiF9wEAALMDAAAOAAAAAAAAAAEAIAAAACkBAABkcnMvZTJvRG9j&#10;LnhtbFBLBQYAAAAABgAGAFkBAACSBQAAAAA=&#10;">
              <v:path arrowok="t"/>
              <v:fill on="f" focussize="0,0"/>
              <v:stroke color="#000000" endarrow="block"/>
              <v:imagedata o:title=""/>
              <o:lock v:ext="edit" aspectratio="f"/>
            </v:line>
            <v:line id="直接连接符 51" o:spid="_x0000_s1102" o:spt="20" style="position:absolute;left:1576705;top:7884158;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Am+IiF9wEAALMDAAAOAAAAAAAAAAEAIAAAACkBAABkcnMvZTJvRG9j&#10;LnhtbFBLBQYAAAAABgAGAFkBAACSBQAAAAA=&#10;">
              <v:path arrowok="t"/>
              <v:fill on="f" focussize="0,0"/>
              <v:stroke color="#000000" endarrow="block"/>
              <v:imagedata o:title=""/>
              <o:lock v:ext="edit" aspectratio="f"/>
            </v:line>
            <v:line id="直接连接符 54" o:spid="_x0000_s1103" o:spt="20" style="position:absolute;left:1576705;top:7528558;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FUA3CvgBAACzAwAADgAAAAAAAAABACAAAAApAQAAZHJzL2Uyb0Rv&#10;Yy54bWxQSwUGAAAAAAYABgBZAQAAkwUAAAAA&#10;">
              <v:path arrowok="t"/>
              <v:fill on="f" focussize="0,0"/>
              <v:stroke color="#000000" endarrow="block"/>
              <v:imagedata o:title=""/>
              <o:lock v:ext="edit" aspectratio="f"/>
            </v:line>
            <v:line id="直接连接符 55" o:spid="_x0000_s1104" o:spt="20" style="position:absolute;left:1576705;top:7160258;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oftmraAAAACQEAAA8AAAAAAAAAAQAgAAAAIgAAAGRycy9kb3ducmV2&#10;LnhtbFBLAQIUABQAAAAIAIdO4kDDQ9UR+gEAALMDAAAOAAAAAAAAAAEAIAAAACkBAABkcnMvZTJv&#10;RG9jLnhtbFBLBQYAAAAABgAGAFkBAACVBQAAAAA=&#10;">
              <v:path arrowok="t"/>
              <v:fill on="f" focussize="0,0"/>
              <v:stroke color="#000000" endarrow="block"/>
              <v:imagedata o:title=""/>
              <o:lock v:ext="edit" aspectratio="f"/>
            </v:line>
            <v:line id="直接连接符 56" o:spid="_x0000_s1105" o:spt="20" style="position:absolute;left:1576705;top:6779258;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6VljyPgBAACzAwAADgAAAAAAAAABACAAAAApAQAAZHJzL2Uyb0Rv&#10;Yy54bWxQSwUGAAAAAAYABgBZAQAAkwUAAAAA&#10;">
              <v:path arrowok="t"/>
              <v:fill on="f" focussize="0,0"/>
              <v:stroke color="#000000" endarrow="block"/>
              <v:imagedata o:title=""/>
              <o:lock v:ext="edit" aspectratio="f"/>
            </v:line>
            <v:line id="直接连接符 57" o:spid="_x0000_s1106" o:spt="20" style="position:absolute;left:1576705;top:6423659;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h+2atoAAAAJAQAADwAAAAAAAAABACAAAAAiAAAAZHJzL2Rvd25yZXYu&#10;eG1sUEsBAhQAFAAAAAgAh07iQJdTRgj5AQAAswMAAA4AAAAAAAAAAQAgAAAAKQEAAGRycy9lMm9E&#10;b2MueG1sUEsFBgAAAAAGAAYAWQEAAJQFAAAAAA==&#10;">
              <v:path arrowok="t"/>
              <v:fill on="f" focussize="0,0"/>
              <v:stroke color="#000000" endarrow="block"/>
              <v:imagedata o:title=""/>
              <o:lock v:ext="edit" aspectratio="f"/>
            </v:line>
            <v:line id="直接连接符 58" o:spid="_x0000_s1107" o:spt="20" style="position:absolute;left:1576705;top:6055359;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CwD9xF9wEAALMDAAAOAAAAAAAAAAEAIAAAACkBAABkcnMvZTJvRG9j&#10;LnhtbFBLBQYAAAAABgAGAFkBAACSBQAAAAA=&#10;">
              <v:path arrowok="t"/>
              <v:fill on="f" focussize="0,0"/>
              <v:stroke color="#000000" endarrow="block"/>
              <v:imagedata o:title=""/>
              <o:lock v:ext="edit" aspectratio="f"/>
            </v:line>
            <v:line id="直接连接符 51" o:spid="_x0000_s1108" o:spt="20" style="position:absolute;left:1593850;top:8636633;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oftmraAAAACQEAAA8AAAAAAAAAAQAgAAAAIgAAAGRycy9kb3ducmV2Lnht&#10;bFBLAQIUABQAAAAIAIdO4kAm+IiF9wEAALMDAAAOAAAAAAAAAAEAIAAAACkBAABkcnMvZTJvRG9j&#10;LnhtbFBLBQYAAAAABgAGAFkBAACSBQAAAAA=&#10;">
              <v:path arrowok="t"/>
              <v:fill on="f" focussize="0,0"/>
              <v:stroke color="#000000" endarrow="block"/>
              <v:imagedata o:title=""/>
              <o:lock v:ext="edit" aspectratio="f"/>
            </v:line>
            <v:line id="直接连接符 54" o:spid="_x0000_s1109" o:spt="20" style="position:absolute;left:1588135;top:8230233;flip:x;height:0;width:457200;" filled="f" stroked="t" coordsize="21600,21600" o:gfxdata="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H7Zq2gAAAAkBAAAPAAAAAAAAAAEAIAAAACIAAABkcnMvZG93bnJldi54&#10;bWxQSwECFAAUAAAACACHTuJAFUA3CvgBAACzAwAADgAAAAAAAAABACAAAAApAQAAZHJzL2Uyb0Rv&#10;Yy54bWxQSwUGAAAAAAYABgBZAQAAkwUAAAAA&#10;">
              <v:path arrowok="t"/>
              <v:fill on="f" focussize="0,0"/>
              <v:stroke color="#000000" endarrow="block"/>
              <v:imagedata o:title=""/>
              <o:lock v:ext="edit" aspectratio="f"/>
            </v:line>
            <v:roundrect id="圆角矩形 31" o:spid="_x0000_s1110" o:spt="2" style="position:absolute;left:0;top:4772024;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eastAsia="宋体"/>
                        <w:lang w:eastAsia="zh-CN"/>
                      </w:rPr>
                    </w:pPr>
                    <w:r>
                      <w:rPr>
                        <w:rFonts w:hint="eastAsia" w:ascii="Calibri" w:hAnsi="Calibri"/>
                        <w:lang w:eastAsia="zh-CN"/>
                      </w:rPr>
                      <w:t>城西社</w:t>
                    </w:r>
                  </w:p>
                </w:txbxContent>
              </v:textbox>
            </v:roundrect>
            <v:roundrect id="圆角矩形 31" o:spid="_x0000_s1111" o:spt="2" style="position:absolute;left:0;top:5170804;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庙前</w:t>
                    </w:r>
                    <w:r>
                      <w:rPr>
                        <w:rFonts w:hint="eastAsia" w:ascii="Calibri" w:hAnsi="Calibri"/>
                      </w:rPr>
                      <w:t>社</w:t>
                    </w:r>
                  </w:p>
                </w:txbxContent>
              </v:textbox>
            </v:roundrect>
            <v:roundrect id="圆角矩形 31" o:spid="_x0000_s1112" o:spt="2" style="position:absolute;left:0;top:7752078;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文亨</w:t>
                    </w:r>
                    <w:r>
                      <w:rPr>
                        <w:rFonts w:hint="eastAsia" w:ascii="Calibri" w:hAnsi="Calibri"/>
                      </w:rPr>
                      <w:t>社</w:t>
                    </w:r>
                  </w:p>
                </w:txbxContent>
              </v:textbox>
            </v:roundrect>
            <v:roundrect id="圆角矩形 31" o:spid="_x0000_s1113" o:spt="2" style="position:absolute;left:0;top:7380603;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四堡</w:t>
                    </w:r>
                    <w:r>
                      <w:rPr>
                        <w:rFonts w:hint="eastAsia" w:ascii="Calibri" w:hAnsi="Calibri"/>
                      </w:rPr>
                      <w:t>社</w:t>
                    </w:r>
                  </w:p>
                </w:txbxContent>
              </v:textbox>
            </v:roundrect>
            <v:roundrect id="圆角矩形 31" o:spid="_x0000_s1114" o:spt="2" style="position:absolute;left:0;top:6993253;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曲溪</w:t>
                    </w:r>
                    <w:r>
                      <w:rPr>
                        <w:rFonts w:hint="eastAsia" w:ascii="Calibri" w:hAnsi="Calibri"/>
                      </w:rPr>
                      <w:t>社</w:t>
                    </w:r>
                  </w:p>
                </w:txbxContent>
              </v:textbox>
            </v:roundrect>
            <v:roundrect id="圆角矩形 31" o:spid="_x0000_s1115" o:spt="2" style="position:absolute;left:0;top:6637653;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北团</w:t>
                    </w:r>
                    <w:r>
                      <w:rPr>
                        <w:rFonts w:hint="eastAsia" w:ascii="Calibri" w:hAnsi="Calibri"/>
                      </w:rPr>
                      <w:t>社</w:t>
                    </w:r>
                  </w:p>
                </w:txbxContent>
              </v:textbox>
            </v:roundrect>
            <v:roundrect id="圆角矩形 31" o:spid="_x0000_s1116" o:spt="2" style="position:absolute;left:11430;top:6266179;height:304799;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莒溪</w:t>
                    </w:r>
                    <w:r>
                      <w:rPr>
                        <w:rFonts w:hint="eastAsia" w:ascii="Calibri" w:hAnsi="Calibri"/>
                      </w:rPr>
                      <w:t>社</w:t>
                    </w:r>
                  </w:p>
                </w:txbxContent>
              </v:textbox>
            </v:roundrect>
            <v:roundrect id="圆角矩形 31" o:spid="_x0000_s1117" o:spt="2" style="position:absolute;left:0;top:5887084;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朋口</w:t>
                    </w:r>
                    <w:r>
                      <w:rPr>
                        <w:rFonts w:hint="eastAsia" w:ascii="Calibri" w:hAnsi="Calibri"/>
                      </w:rPr>
                      <w:t>社</w:t>
                    </w:r>
                  </w:p>
                </w:txbxContent>
              </v:textbox>
            </v:roundrect>
            <v:roundrect id="圆角矩形 31" o:spid="_x0000_s1118" o:spt="2" style="position:absolute;left:0;top:5528944;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新泉</w:t>
                    </w:r>
                    <w:r>
                      <w:rPr>
                        <w:rFonts w:hint="eastAsia" w:ascii="Calibri" w:hAnsi="Calibri"/>
                      </w:rPr>
                      <w:t>社</w:t>
                    </w:r>
                  </w:p>
                </w:txbxContent>
              </v:textbox>
            </v:roundrect>
            <v:roundrect id="圆角矩形 31" o:spid="_x0000_s1119" o:spt="2" style="position:absolute;left:0;top:8491853;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莲花</w:t>
                    </w:r>
                    <w:r>
                      <w:rPr>
                        <w:rFonts w:hint="eastAsia" w:ascii="Calibri" w:hAnsi="Calibri"/>
                      </w:rPr>
                      <w:t>社</w:t>
                    </w:r>
                  </w:p>
                </w:txbxContent>
              </v:textbox>
            </v:roundrect>
            <v:roundrect id="圆角矩形 31" o:spid="_x0000_s1120" o:spt="2" style="position:absolute;left:0;top:8099423;height:304800;width:157480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莲峰</w:t>
                    </w:r>
                    <w:r>
                      <w:rPr>
                        <w:rFonts w:hint="eastAsia" w:ascii="Calibri" w:hAnsi="Calibri"/>
                      </w:rPr>
                      <w:t>社</w:t>
                    </w:r>
                  </w:p>
                </w:txbxContent>
              </v:textbox>
            </v:roundrect>
            <v:line id="直接连接符 43" o:spid="_x0000_s1121" o:spt="20" style="position:absolute;left:2058670;top:5978523;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j3fYdoAAAAJAQAADwAAAAAAAAABACAAAAAiAAAAZHJzL2Rvd25yZXYueG1sUEsBAhQA&#10;FAAAAAgAh07iQEefwOLwAQAAqQMAAA4AAAAAAAAAAQAgAAAAKQEAAGRycy9lMm9Eb2MueG1sUEsF&#10;BgAAAAAGAAYAWQEAAIsFAAAAAA==&#10;">
              <v:path arrowok="t"/>
              <v:fill on="f" focussize="0,0"/>
              <v:stroke color="#000000" endarrow="block"/>
              <v:imagedata o:title=""/>
              <o:lock v:ext="edit" aspectratio="f"/>
            </v:line>
            <v:line id="直接连接符 44" o:spid="_x0000_s1122" o:spt="20" style="position:absolute;left:2034540;top:6341108;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o932HaAAAACQEAAA8AAAAAAAAAAQAgAAAAIgAAAGRycy9kb3ducmV2LnhtbFBLAQIUABQA&#10;AAAIAIdO4kB8JBF97gEAAKkDAAAOAAAAAAAAAAEAIAAAACkBAABkcnMvZTJvRG9jLnhtbFBLBQYA&#10;AAAABgAGAFkBAACJBQAAAAA=&#10;">
              <v:path arrowok="t"/>
              <v:fill on="f" focussize="0,0"/>
              <v:stroke color="#000000" endarrow="block"/>
              <v:imagedata o:title=""/>
              <o:lock v:ext="edit" aspectratio="f"/>
            </v:line>
            <v:line id="直接连接符 66" o:spid="_x0000_s1123" o:spt="20" style="position:absolute;left:2050415;top:7068183;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KPd9h2gAAAAkBAAAPAAAAAAAAAAEAIAAAACIAAABkcnMvZG93bnJldi54bWxQSwECFAAUAAAA&#10;CACHTuJAFpA3oewBAACpAwAADgAAAAAAAAABACAAAAApAQAAZHJzL2Uyb0RvYy54bWxQSwUGAAAA&#10;AAYABgBZAQAAhwUAAAAA&#10;">
              <v:path arrowok="t"/>
              <v:fill on="f" focussize="0,0"/>
              <v:stroke color="#000000" endarrow="block"/>
              <v:imagedata o:title=""/>
              <o:lock v:ext="edit" aspectratio="f"/>
            </v:line>
            <v:line id="直接连接符 67" o:spid="_x0000_s1124" o:spt="20" style="position:absolute;left:2040255;top:7449183;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j3fYdoAAAAJAQAADwAAAAAAAAABACAAAAAiAAAAZHJzL2Rvd25yZXYueG1sUEsBAhQAFAAA&#10;AAgAh07iQEGClXPtAQAAqQMAAA4AAAAAAAAAAQAgAAAAKQEAAGRycy9lMm9Eb2MueG1sUEsFBgAA&#10;AAAGAAYAWQEAAIgFAAAAAA==&#10;">
              <v:path arrowok="t"/>
              <v:fill on="f" focussize="0,0"/>
              <v:stroke color="#000000" endarrow="block"/>
              <v:imagedata o:title=""/>
              <o:lock v:ext="edit" aspectratio="f"/>
            </v:line>
            <v:line id="直接连接符 76" o:spid="_x0000_s1125" o:spt="20" style="position:absolute;left:2042795;top:6676388;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j3fYdoAAAAJAQAADwAAAAAAAAABACAAAAAiAAAAZHJzL2Rvd25yZXYueG1sUEsB&#10;AhQAFAAAAAgAh07iQGGncPLzAQAAqQMAAA4AAAAAAAAAAQAgAAAAKQEAAGRycy9lMm9Eb2MueG1s&#10;UEsFBgAAAAAGAAYAWQEAAI4FAAAAAA==&#10;">
              <v:path arrowok="t"/>
              <v:fill on="f" focussize="0,0"/>
              <v:stroke color="#000000" endarrow="block"/>
              <v:imagedata o:title=""/>
              <o:lock v:ext="edit" aspectratio="f"/>
            </v:line>
            <v:line id="直接连接符 78" o:spid="_x0000_s1126" o:spt="20" style="position:absolute;left:2042795;top:7762873;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o932HaAAAACQEAAA8AAAAAAAAAAQAgAAAAIgAAAGRycy9kb3ducmV2LnhtbFBLAQIU&#10;ABQAAAAIAIdO4kCelAQt8QEAAKkDAAAOAAAAAAAAAAEAIAAAACkBAABkcnMvZTJvRG9jLnhtbFBL&#10;BQYAAAAABgAGAFkBAACMBQAAAAA=&#10;">
              <v:path arrowok="t"/>
              <v:fill on="f" focussize="0,0"/>
              <v:stroke color="#000000" endarrow="block"/>
              <v:imagedata o:title=""/>
              <o:lock v:ext="edit" aspectratio="f"/>
            </v:line>
            <v:line id="直接连接符 107" o:spid="_x0000_s1127" o:spt="20" style="position:absolute;left:2038350;top:8163557;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KPd9h2gAAAAkBAAAPAAAAAAAAAAEAIAAAACIAAABkcnMvZG93bnJldi54bWxQSwEC&#10;FAAUAAAACACHTuJA6ttN5fIBAACrAwAADgAAAAAAAAABACAAAAApAQAAZHJzL2Uyb0RvYy54bWxQ&#10;SwUGAAAAAAYABgBZAQAAjQUAAAAA&#10;">
              <v:path arrowok="t"/>
              <v:fill on="f" focussize="0,0"/>
              <v:stroke color="#000000" endarrow="block"/>
              <v:imagedata o:title=""/>
              <o:lock v:ext="edit" aspectratio="f"/>
            </v:line>
            <v:line id="直接连接符 80" o:spid="_x0000_s1128" o:spt="20" style="position:absolute;left:2047240;top:8563608;height:0;width:342900;" filled="f" stroked="t" coordsize="21600,21600" o:gfxdata="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KPd9h2gAAAAkBAAAPAAAAAAAAAAEAIAAAACIAAABkcnMvZG93bnJldi54bWxQSwEC&#10;FAAUAAAACACHTuJAPAw9yfIBAACpAwAADgAAAAAAAAABACAAAAApAQAAZHJzL2Uyb0RvYy54bWxQ&#10;SwUGAAAAAAYABgBZAQAAjQUAAAAA&#10;">
              <v:path arrowok="t"/>
              <v:fill on="f" focussize="0,0"/>
              <v:stroke color="#000000" endarrow="block"/>
              <v:imagedata o:title=""/>
              <o:lock v:ext="edit" aspectratio="f"/>
            </v:line>
            <v:roundrect id="圆角矩形 31" o:spid="_x0000_s1129" o:spt="2" style="position:absolute;left:2465705;top:7707629;height:304800;width:1141095;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揭乐</w:t>
                    </w:r>
                    <w:r>
                      <w:rPr>
                        <w:rFonts w:hint="eastAsia" w:ascii="Calibri" w:hAnsi="Calibri"/>
                      </w:rPr>
                      <w:t>分社</w:t>
                    </w:r>
                  </w:p>
                </w:txbxContent>
              </v:textbox>
            </v:roundrect>
            <v:roundrect id="圆角矩形 31" o:spid="_x0000_s1130" o:spt="2" style="position:absolute;left:2466340;top:7359014;height:304800;width:1141095;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赖源</w:t>
                    </w:r>
                    <w:r>
                      <w:rPr>
                        <w:rFonts w:hint="eastAsia" w:ascii="Calibri" w:hAnsi="Calibri"/>
                      </w:rPr>
                      <w:t>社</w:t>
                    </w:r>
                  </w:p>
                </w:txbxContent>
              </v:textbox>
            </v:roundrect>
            <v:roundrect id="圆角矩形 31" o:spid="_x0000_s1131" o:spt="2" style="position:absolute;left:2446655;top:6984999;height:304800;width:1151255;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塘前</w:t>
                    </w:r>
                    <w:r>
                      <w:rPr>
                        <w:rFonts w:hint="eastAsia" w:ascii="Calibri" w:hAnsi="Calibri"/>
                      </w:rPr>
                      <w:t>社</w:t>
                    </w:r>
                  </w:p>
                </w:txbxContent>
              </v:textbox>
            </v:roundrect>
            <v:roundrect id="圆角矩形 31" o:spid="_x0000_s1132" o:spt="2" style="position:absolute;left:2465705;top:6600189;height:304800;width:1122045;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宣和</w:t>
                    </w:r>
                    <w:r>
                      <w:rPr>
                        <w:rFonts w:hint="eastAsia" w:ascii="Calibri" w:hAnsi="Calibri"/>
                      </w:rPr>
                      <w:t>社</w:t>
                    </w:r>
                  </w:p>
                </w:txbxContent>
              </v:textbox>
            </v:roundrect>
            <v:roundrect id="圆角矩形 31" o:spid="_x0000_s1133" o:spt="2" style="position:absolute;left:2446020;top:6261099;height:292100;width:114173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姑田</w:t>
                    </w:r>
                    <w:r>
                      <w:rPr>
                        <w:rFonts w:hint="eastAsia" w:ascii="Calibri" w:hAnsi="Calibri"/>
                      </w:rPr>
                      <w:t>社</w:t>
                    </w:r>
                  </w:p>
                </w:txbxContent>
              </v:textbox>
            </v:roundrect>
            <v:roundrect id="圆角矩形 31" o:spid="_x0000_s1134" o:spt="2" style="position:absolute;left:2446020;top:5869939;height:304800;width:113157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罗坊</w:t>
                    </w:r>
                    <w:r>
                      <w:rPr>
                        <w:rFonts w:hint="eastAsia" w:ascii="Calibri" w:hAnsi="Calibri"/>
                      </w:rPr>
                      <w:t>社</w:t>
                    </w:r>
                  </w:p>
                </w:txbxContent>
              </v:textbox>
            </v:roundrect>
            <v:roundrect id="圆角矩形 31" o:spid="_x0000_s1135" o:spt="2" style="position:absolute;left:2495550;top:8425813;height:304800;width:1122680;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林坊</w:t>
                    </w:r>
                    <w:r>
                      <w:rPr>
                        <w:rFonts w:hint="eastAsia" w:ascii="Calibri" w:hAnsi="Calibri"/>
                      </w:rPr>
                      <w:t>分社</w:t>
                    </w:r>
                  </w:p>
                </w:txbxContent>
              </v:textbox>
            </v:roundrect>
            <v:roundrect id="圆角矩形 31" o:spid="_x0000_s1136" o:spt="2" style="position:absolute;left:2499360;top:8075292;height:304800;width:1122679;rotation:11796480f;" fillcolor="#FFFFFF" filled="t" stroked="t" coordsize="21600,21600" arcsize="0.166666666666667">
              <v:path/>
              <v:fill on="t" color2="#FFFFFF" focussize="0,0"/>
              <v:stroke color="#000000"/>
              <v:imagedata o:title=""/>
              <o:lock v:ext="edit" aspectratio="f"/>
              <v:textbox inset="7.3440157480315pt,3.67196850393701pt,7.3440157480315pt,3.67196850393701pt">
                <w:txbxContent>
                  <w:p>
                    <w:pPr>
                      <w:jc w:val="center"/>
                      <w:rPr>
                        <w:rFonts w:hint="eastAsia" w:ascii="Calibri" w:hAnsi="Calibri"/>
                      </w:rPr>
                    </w:pPr>
                    <w:r>
                      <w:rPr>
                        <w:rFonts w:hint="eastAsia" w:ascii="Calibri" w:hAnsi="Calibri"/>
                        <w:lang w:eastAsia="zh-CN"/>
                      </w:rPr>
                      <w:t>隔川</w:t>
                    </w:r>
                    <w:r>
                      <w:rPr>
                        <w:rFonts w:hint="eastAsia" w:ascii="Calibri" w:hAnsi="Calibri"/>
                      </w:rPr>
                      <w:t>分社</w:t>
                    </w:r>
                  </w:p>
                </w:txbxContent>
              </v:textbox>
            </v:roundrect>
            <v:line id="_x0000_s1138" o:spid="_x0000_s1138" o:spt="20" style="position:absolute;left:3733799;top:1213485;height:444500;width:0;" filled="f" stroked="t" coordsize="21600,21600">
              <v:path arrowok="t"/>
              <v:fill on="f" focussize="0,0"/>
              <v:stroke weight="1.25pt" color="#000000"/>
              <v:imagedata o:title=""/>
              <o:lock v:ext="edit" aspectratio="f"/>
            </v:line>
            <v:line id="_x0000_s1139" o:spid="_x0000_s1139" o:spt="20" style="position:absolute;left:3733799;top:1205230;flip:y;height:0;width:431800;" filled="f" stroked="t" coordsize="21600,21600">
              <v:path arrowok="t"/>
              <v:fill on="f" focussize="0,0"/>
              <v:stroke weight="1.25pt" color="#000000" endarrow="open"/>
              <v:imagedata o:title=""/>
              <o:lock v:ext="edit" aspectratio="f"/>
            </v:line>
            <v:roundrect id="圆角矩形 26" o:spid="_x0000_s1142" o:spt="2" style="position:absolute;left:4219574;top:1006475;height:304800;width:1562100;" fillcolor="#FFFFFF" filled="t" stroked="t" coordsize="21600,21600" arcsize="0.166666666666667" o:gfxdata="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nDzgdgAAAAJAQAADwAAAAAAAAABACAAAAAiAAAAZHJzL2Rvd25yZXYueG1sUEsB&#10;AhQAFAAAAAgAh07iQDIRHXIuAgAASgQAAA4AAAAAAAAAAQAgAAAAJwEAAGRycy9lMm9Eb2MueG1s&#10;UEsFBgAAAAAGAAYAWQEAAMcFAAAAAA==&#10;">
              <v:path/>
              <v:fill on="t" color2="#FFFFFF" focussize="0,0"/>
              <v:stroke color="#000000"/>
              <v:imagedata o:title=""/>
              <o:lock v:ext="edit" aspectratio="f"/>
              <v:textbox inset="7.3440157480315pt,3.67196850393701pt,7.3440157480315pt,3.67196850393701pt">
                <w:txbxContent>
                  <w:p>
                    <w:pPr>
                      <w:jc w:val="center"/>
                      <w:rPr>
                        <w:rFonts w:ascii="Calibri" w:hAnsi="Calibri"/>
                      </w:rPr>
                    </w:pPr>
                    <w:r>
                      <w:rPr>
                        <w:rFonts w:hint="eastAsia" w:ascii="Calibri" w:hAnsi="Calibri"/>
                      </w:rPr>
                      <w:t>风险管理</w:t>
                    </w:r>
                    <w:r>
                      <w:rPr>
                        <w:rFonts w:ascii="Calibri" w:hAnsi="Calibri"/>
                      </w:rPr>
                      <w:t>委员会</w:t>
                    </w:r>
                  </w:p>
                  <w:p>
                    <w:pPr>
                      <w:rPr>
                        <w:rFonts w:ascii="Calibri" w:hAnsi="Calibri"/>
                      </w:rPr>
                    </w:pPr>
                  </w:p>
                </w:txbxContent>
              </v:textbox>
            </v:roundrect>
            <w10:wrap type="topAndBottom"/>
          </v:group>
        </w:pict>
      </w:r>
    </w:p>
    <w:p>
      <w:pPr>
        <w:pStyle w:val="3"/>
        <w:keepNext w:val="0"/>
        <w:keepLines w:val="0"/>
        <w:pageBreakBefore w:val="0"/>
        <w:kinsoku/>
        <w:wordWrap/>
        <w:overflowPunct/>
        <w:topLinePunct w:val="0"/>
        <w:autoSpaceDE/>
        <w:bidi w:val="0"/>
        <w:spacing w:before="0" w:after="0" w:line="520" w:lineRule="exact"/>
        <w:jc w:val="center"/>
        <w:rPr>
          <w:rFonts w:ascii="黑体" w:hAnsi="仿宋" w:eastAsia="黑体"/>
          <w:b w:val="0"/>
          <w:bCs w:val="0"/>
          <w:kern w:val="2"/>
          <w:sz w:val="32"/>
          <w:szCs w:val="32"/>
          <w:highlight w:val="none"/>
        </w:rPr>
      </w:pPr>
      <w:r>
        <w:rPr>
          <w:rFonts w:hint="eastAsia" w:ascii="黑体" w:hAnsi="仿宋" w:eastAsia="黑体"/>
          <w:b w:val="0"/>
          <w:bCs w:val="0"/>
          <w:kern w:val="2"/>
          <w:sz w:val="32"/>
          <w:szCs w:val="32"/>
          <w:highlight w:val="none"/>
        </w:rPr>
        <w:t>第十章  内部控制</w:t>
      </w:r>
      <w:bookmarkEnd w:id="7"/>
    </w:p>
    <w:p>
      <w:pPr>
        <w:keepNext w:val="0"/>
        <w:keepLines w:val="0"/>
        <w:pageBreakBefore w:val="0"/>
        <w:kinsoku/>
        <w:wordWrap/>
        <w:overflowPunct/>
        <w:topLinePunct w:val="0"/>
        <w:autoSpaceDE/>
        <w:bidi w:val="0"/>
        <w:spacing w:line="520" w:lineRule="exact"/>
        <w:ind w:firstLine="555"/>
        <w:rPr>
          <w:rFonts w:ascii="黑体" w:hAnsi="黑体" w:eastAsia="黑体"/>
          <w:sz w:val="32"/>
          <w:szCs w:val="32"/>
          <w:highlight w:val="none"/>
        </w:rPr>
      </w:pPr>
      <w:r>
        <w:rPr>
          <w:rFonts w:hint="eastAsia" w:ascii="黑体" w:hAnsi="黑体" w:eastAsia="黑体"/>
          <w:sz w:val="32"/>
          <w:szCs w:val="32"/>
          <w:highlight w:val="none"/>
        </w:rPr>
        <w:t>一、内部控制体系及运作情况</w:t>
      </w:r>
    </w:p>
    <w:p>
      <w:pPr>
        <w:spacing w:line="52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年在省联社、龙岩办事处、连城县政府的正确领导下，在</w:t>
      </w:r>
      <w:r>
        <w:rPr>
          <w:rFonts w:hint="eastAsia" w:ascii="仿宋_GB2312" w:hAnsi="仿宋" w:eastAsia="仿宋_GB2312"/>
          <w:sz w:val="32"/>
          <w:szCs w:val="32"/>
          <w:highlight w:val="none"/>
        </w:rPr>
        <w:t>国家金融监管总局</w:t>
      </w:r>
      <w:r>
        <w:rPr>
          <w:rFonts w:hint="eastAsia" w:ascii="仿宋_GB2312" w:eastAsia="仿宋_GB2312"/>
          <w:sz w:val="32"/>
          <w:szCs w:val="32"/>
          <w:highlight w:val="none"/>
        </w:rPr>
        <w:t>、人民银行的关心支持下，</w:t>
      </w:r>
      <w:r>
        <w:rPr>
          <w:rFonts w:hint="eastAsia" w:ascii="仿宋_GB2312" w:eastAsia="仿宋_GB2312"/>
          <w:sz w:val="32"/>
          <w:szCs w:val="32"/>
          <w:highlight w:val="none"/>
          <w:lang w:eastAsia="zh-CN"/>
        </w:rPr>
        <w:t>连城农信联社</w:t>
      </w:r>
      <w:r>
        <w:rPr>
          <w:rFonts w:hint="eastAsia" w:ascii="仿宋_GB2312" w:eastAsia="仿宋_GB2312"/>
          <w:sz w:val="32"/>
          <w:szCs w:val="32"/>
          <w:highlight w:val="none"/>
        </w:rPr>
        <w:t>抓好立规、强化循规、全面合规，以风险防范为本，建立科学有效的合规管理体系，为我县农村信用社合规守法经营和稳健可持续发展提供保障。</w:t>
      </w:r>
    </w:p>
    <w:p>
      <w:pPr>
        <w:keepNext w:val="0"/>
        <w:keepLines w:val="0"/>
        <w:pageBreakBefore w:val="0"/>
        <w:kinsoku/>
        <w:wordWrap/>
        <w:overflowPunct/>
        <w:topLinePunct w:val="0"/>
        <w:autoSpaceDE/>
        <w:bidi w:val="0"/>
        <w:spacing w:line="520" w:lineRule="exact"/>
        <w:ind w:firstLine="642" w:firstLineChars="200"/>
        <w:rPr>
          <w:rFonts w:ascii="仿宋_GB2312" w:eastAsia="仿宋_GB2312"/>
          <w:sz w:val="32"/>
          <w:szCs w:val="32"/>
          <w:highlight w:val="none"/>
        </w:rPr>
      </w:pPr>
      <w:r>
        <w:rPr>
          <w:rFonts w:hint="eastAsia" w:ascii="楷体_GB2312" w:hAnsi="楷体" w:eastAsia="楷体_GB2312" w:cs="Arial"/>
          <w:b/>
          <w:sz w:val="32"/>
          <w:szCs w:val="32"/>
          <w:highlight w:val="none"/>
        </w:rPr>
        <w:t>(一) 加强合规文化建设，保障我县农村信用社稳健、科学、永续发展。</w:t>
      </w:r>
      <w:r>
        <w:rPr>
          <w:rFonts w:hint="eastAsia" w:ascii="仿宋_GB2312" w:eastAsia="仿宋_GB2312"/>
          <w:sz w:val="32"/>
          <w:szCs w:val="32"/>
          <w:highlight w:val="none"/>
          <w:lang w:eastAsia="zh-CN"/>
        </w:rPr>
        <w:t>本社</w:t>
      </w:r>
      <w:r>
        <w:rPr>
          <w:rFonts w:hint="eastAsia" w:ascii="仿宋_GB2312" w:eastAsia="仿宋_GB2312"/>
          <w:sz w:val="32"/>
          <w:szCs w:val="32"/>
          <w:highlight w:val="none"/>
        </w:rPr>
        <w:t>全面贯彻执行国家的宏观经济政策和银行业监管法律法规，坚持合规经营、防范风险、促进发展，着力提高我县农村信用社产品创新能力、加强网点基础建设、提升合规风险管控能力，加强合规文化建设，实现员工由被动管制到自觉约束转变，提高制度执行力、优化操作流程、强化内部控制，实现由制度管控到文化管控的转变，保障我县农村信用社稳健、科学、有续发展。</w:t>
      </w:r>
    </w:p>
    <w:p>
      <w:pPr>
        <w:pStyle w:val="41"/>
        <w:keepNext w:val="0"/>
        <w:keepLines w:val="0"/>
        <w:pageBreakBefore w:val="0"/>
        <w:kinsoku/>
        <w:wordWrap/>
        <w:overflowPunct/>
        <w:topLinePunct w:val="0"/>
        <w:autoSpaceDE/>
        <w:bidi w:val="0"/>
        <w:spacing w:before="0" w:beforeAutospacing="0" w:after="0" w:afterAutospacing="0" w:line="520" w:lineRule="exact"/>
        <w:ind w:firstLine="642" w:firstLineChars="200"/>
        <w:jc w:val="both"/>
        <w:rPr>
          <w:rFonts w:ascii="仿宋_GB2312" w:eastAsia="仿宋_GB2312"/>
          <w:color w:val="auto"/>
          <w:sz w:val="32"/>
          <w:szCs w:val="32"/>
          <w:highlight w:val="none"/>
        </w:rPr>
      </w:pPr>
      <w:r>
        <w:rPr>
          <w:rFonts w:hint="eastAsia" w:ascii="楷体_GB2312" w:hAnsi="楷体" w:eastAsia="楷体_GB2312" w:cs="Arial"/>
          <w:b/>
          <w:color w:val="auto"/>
          <w:kern w:val="2"/>
          <w:sz w:val="32"/>
          <w:szCs w:val="32"/>
          <w:highlight w:val="none"/>
        </w:rPr>
        <w:t xml:space="preserve"> (二) 加强制度建设，完善合规建设机制。</w:t>
      </w:r>
      <w:r>
        <w:rPr>
          <w:rFonts w:hint="eastAsia" w:ascii="仿宋_GB2312" w:eastAsia="仿宋_GB2312"/>
          <w:color w:val="auto"/>
          <w:sz w:val="32"/>
          <w:szCs w:val="32"/>
          <w:highlight w:val="none"/>
        </w:rPr>
        <w:t>一年来，</w:t>
      </w:r>
      <w:r>
        <w:rPr>
          <w:rFonts w:hint="eastAsia" w:ascii="仿宋_GB2312" w:eastAsia="仿宋_GB2312"/>
          <w:color w:val="auto"/>
          <w:sz w:val="32"/>
          <w:szCs w:val="32"/>
          <w:highlight w:val="none"/>
          <w:lang w:eastAsia="zh-CN"/>
        </w:rPr>
        <w:t>本社</w:t>
      </w:r>
      <w:r>
        <w:rPr>
          <w:rFonts w:hint="eastAsia" w:ascii="仿宋_GB2312" w:eastAsia="仿宋_GB2312"/>
          <w:color w:val="auto"/>
          <w:sz w:val="32"/>
          <w:szCs w:val="32"/>
          <w:highlight w:val="none"/>
        </w:rPr>
        <w:t>合规建设坚持以内控优先为原则，结合我县农信社业务发展情况，及时梳理现有的各项规章制度，整理业务流程和环节的合规风险点，通过加强制度建设，使内部控制更加严密，员工操守行为更加规范，激励考核制度更加科学，各种风险得到有效控制，核心竞争力持续提高，实现依法、合规、稳健经营，有效管理和控制合规风险，从源头上加强事前风险防范。</w:t>
      </w:r>
    </w:p>
    <w:p>
      <w:pPr>
        <w:keepNext w:val="0"/>
        <w:keepLines w:val="0"/>
        <w:pageBreakBefore w:val="0"/>
        <w:kinsoku/>
        <w:wordWrap/>
        <w:overflowPunct/>
        <w:topLinePunct w:val="0"/>
        <w:autoSpaceDE/>
        <w:bidi w:val="0"/>
        <w:spacing w:line="520" w:lineRule="exact"/>
        <w:ind w:firstLine="642" w:firstLineChars="200"/>
        <w:rPr>
          <w:rFonts w:ascii="楷体_GB2312" w:hAnsi="楷体" w:eastAsia="楷体_GB2312" w:cs="Arial"/>
          <w:b/>
          <w:color w:val="auto"/>
          <w:sz w:val="32"/>
          <w:szCs w:val="32"/>
          <w:highlight w:val="none"/>
        </w:rPr>
      </w:pPr>
      <w:r>
        <w:rPr>
          <w:rFonts w:hint="eastAsia" w:ascii="楷体_GB2312" w:hAnsi="楷体" w:eastAsia="楷体_GB2312" w:cs="Arial"/>
          <w:b/>
          <w:bCs/>
          <w:color w:val="auto"/>
          <w:sz w:val="32"/>
          <w:szCs w:val="32"/>
          <w:highlight w:val="none"/>
        </w:rPr>
        <w:t>（三）开展重点领域内控风险点“回头看”专项审计工作</w:t>
      </w:r>
      <w:r>
        <w:rPr>
          <w:rFonts w:hint="eastAsia" w:ascii="楷体_GB2312" w:hAnsi="楷体" w:eastAsia="楷体_GB2312" w:cs="Arial"/>
          <w:b/>
          <w:color w:val="auto"/>
          <w:sz w:val="32"/>
          <w:szCs w:val="32"/>
          <w:highlight w:val="none"/>
        </w:rPr>
        <w:t>。</w:t>
      </w:r>
      <w:r>
        <w:rPr>
          <w:rFonts w:hint="eastAsia" w:ascii="仿宋_GB2312" w:hAnsi="华文仿宋" w:eastAsia="仿宋_GB2312"/>
          <w:bCs/>
          <w:color w:val="auto"/>
          <w:sz w:val="32"/>
          <w:szCs w:val="32"/>
          <w:highlight w:val="none"/>
        </w:rPr>
        <w:t>为进</w:t>
      </w:r>
      <w:r>
        <w:rPr>
          <w:rFonts w:ascii="仿宋_GB2312" w:hAnsi="华文仿宋" w:eastAsia="仿宋_GB2312"/>
          <w:bCs/>
          <w:color w:val="auto"/>
          <w:sz w:val="32"/>
          <w:szCs w:val="32"/>
          <w:highlight w:val="none"/>
        </w:rPr>
        <w:t>一步</w:t>
      </w:r>
      <w:r>
        <w:rPr>
          <w:rFonts w:hint="eastAsia" w:ascii="仿宋_GB2312" w:hAnsi="华文仿宋" w:eastAsia="仿宋_GB2312"/>
          <w:bCs/>
          <w:color w:val="auto"/>
          <w:sz w:val="32"/>
          <w:szCs w:val="32"/>
          <w:highlight w:val="none"/>
        </w:rPr>
        <w:t>加大对案件易发、高发领域排查力度，找出内控方面存在的薄弱环节，揭示重点领域存在问题和风险隐患，提出审计建议并督促有效提升风险防控能力，提高内控制度设计和执行管理的合规性、合理性、有效性</w:t>
      </w:r>
      <w:r>
        <w:rPr>
          <w:rFonts w:hint="eastAsia" w:ascii="仿宋_GB2312" w:hAnsi="华文仿宋" w:eastAsia="仿宋_GB2312"/>
          <w:color w:val="auto"/>
          <w:sz w:val="32"/>
          <w:szCs w:val="32"/>
          <w:highlight w:val="none"/>
        </w:rPr>
        <w:t>，根据省联社龙岩办事处202</w:t>
      </w:r>
      <w:r>
        <w:rPr>
          <w:rFonts w:ascii="仿宋_GB2312" w:hAnsi="华文仿宋" w:eastAsia="仿宋_GB2312"/>
          <w:color w:val="auto"/>
          <w:sz w:val="32"/>
          <w:szCs w:val="32"/>
          <w:highlight w:val="none"/>
        </w:rPr>
        <w:t>4</w:t>
      </w:r>
      <w:r>
        <w:rPr>
          <w:rFonts w:hint="eastAsia" w:ascii="仿宋_GB2312" w:hAnsi="华文仿宋" w:eastAsia="仿宋_GB2312"/>
          <w:color w:val="auto"/>
          <w:sz w:val="32"/>
          <w:szCs w:val="32"/>
          <w:highlight w:val="none"/>
        </w:rPr>
        <w:t>年度审计项目计划安排和监管部门有关要求,重点围绕防范信用风险、操作风险、道德风险，紧盯案件风险高发区、易发区，</w:t>
      </w:r>
      <w:r>
        <w:rPr>
          <w:rFonts w:hint="eastAsia" w:ascii="仿宋_GB2312" w:hAnsi="华文仿宋" w:eastAsia="仿宋_GB2312"/>
          <w:bCs/>
          <w:color w:val="auto"/>
          <w:sz w:val="32"/>
          <w:szCs w:val="32"/>
          <w:highlight w:val="none"/>
        </w:rPr>
        <w:t>聚焦</w:t>
      </w:r>
      <w:r>
        <w:rPr>
          <w:rFonts w:hint="eastAsia" w:ascii="仿宋_GB2312" w:hAnsi="华文仿宋" w:eastAsia="仿宋_GB2312"/>
          <w:color w:val="auto"/>
          <w:sz w:val="32"/>
          <w:szCs w:val="32"/>
          <w:highlight w:val="none"/>
        </w:rPr>
        <w:t>监管部门重点关注的员工行为管理、防范</w:t>
      </w:r>
      <w:r>
        <w:rPr>
          <w:rFonts w:ascii="仿宋_GB2312" w:hAnsi="华文仿宋" w:eastAsia="仿宋_GB2312"/>
          <w:color w:val="auto"/>
          <w:sz w:val="32"/>
          <w:szCs w:val="32"/>
          <w:highlight w:val="none"/>
        </w:rPr>
        <w:t>非法</w:t>
      </w:r>
      <w:r>
        <w:rPr>
          <w:rFonts w:hint="eastAsia" w:ascii="仿宋_GB2312" w:hAnsi="华文仿宋" w:eastAsia="仿宋_GB2312"/>
          <w:color w:val="auto"/>
          <w:sz w:val="32"/>
          <w:szCs w:val="32"/>
          <w:highlight w:val="none"/>
        </w:rPr>
        <w:t>中介渗透、“职业背债人”问</w:t>
      </w:r>
      <w:r>
        <w:rPr>
          <w:rFonts w:hint="eastAsia" w:ascii="仿宋_GB2312" w:hAnsi="华文仿宋" w:eastAsia="仿宋_GB2312"/>
          <w:bCs/>
          <w:color w:val="auto"/>
          <w:sz w:val="32"/>
          <w:szCs w:val="32"/>
          <w:highlight w:val="none"/>
        </w:rPr>
        <w:t>题。加大对</w:t>
      </w:r>
      <w:r>
        <w:rPr>
          <w:rFonts w:hint="eastAsia" w:ascii="仿宋_GB2312" w:hAnsi="华文仿宋" w:eastAsia="仿宋_GB2312"/>
          <w:color w:val="auto"/>
          <w:sz w:val="32"/>
          <w:szCs w:val="32"/>
          <w:highlight w:val="none"/>
        </w:rPr>
        <w:t>案件易发、高发领域排查</w:t>
      </w:r>
      <w:r>
        <w:rPr>
          <w:rFonts w:hint="eastAsia" w:ascii="仿宋_GB2312" w:hAnsi="华文仿宋" w:eastAsia="仿宋_GB2312"/>
          <w:bCs/>
          <w:color w:val="auto"/>
          <w:sz w:val="32"/>
          <w:szCs w:val="32"/>
          <w:highlight w:val="none"/>
        </w:rPr>
        <w:t>力度</w:t>
      </w:r>
      <w:r>
        <w:rPr>
          <w:rFonts w:hint="eastAsia" w:ascii="仿宋_GB2312" w:hAnsi="华文仿宋" w:eastAsia="仿宋_GB2312"/>
          <w:color w:val="auto"/>
          <w:sz w:val="32"/>
          <w:szCs w:val="32"/>
          <w:highlight w:val="none"/>
        </w:rPr>
        <w:t>，找出内控方面存在的薄弱环节，揭示重点领域存在问题和风险隐患，提出审计建议并督促行社有效提升风险防控能力，提高行社内控制度设计和执行管理的合规性、合理性、有效性。</w:t>
      </w:r>
    </w:p>
    <w:p>
      <w:pPr>
        <w:keepNext w:val="0"/>
        <w:keepLines w:val="0"/>
        <w:pageBreakBefore w:val="0"/>
        <w:kinsoku/>
        <w:wordWrap/>
        <w:overflowPunct/>
        <w:topLinePunct w:val="0"/>
        <w:autoSpaceDE/>
        <w:bidi w:val="0"/>
        <w:spacing w:line="520" w:lineRule="exact"/>
        <w:ind w:firstLine="642" w:firstLineChars="200"/>
        <w:rPr>
          <w:rFonts w:ascii="楷体_GB2312" w:hAnsi="楷体" w:eastAsia="楷体_GB2312" w:cs="Arial"/>
          <w:b/>
          <w:bCs/>
          <w:color w:val="auto"/>
          <w:sz w:val="32"/>
          <w:szCs w:val="32"/>
          <w:highlight w:val="none"/>
        </w:rPr>
      </w:pPr>
      <w:r>
        <w:rPr>
          <w:rFonts w:hint="eastAsia" w:ascii="楷体_GB2312" w:hAnsi="楷体" w:eastAsia="楷体_GB2312" w:cs="Arial"/>
          <w:b/>
          <w:color w:val="auto"/>
          <w:sz w:val="32"/>
          <w:szCs w:val="32"/>
          <w:highlight w:val="none"/>
        </w:rPr>
        <w:t>（四）开展监事长“排雷行动”。</w:t>
      </w:r>
      <w:r>
        <w:rPr>
          <w:rFonts w:hint="eastAsia" w:ascii="仿宋_GB2312" w:hAnsi="仿宋" w:eastAsia="仿宋_GB2312" w:cs="仿宋"/>
          <w:color w:val="auto"/>
          <w:sz w:val="32"/>
          <w:szCs w:val="32"/>
          <w:highlight w:val="none"/>
        </w:rPr>
        <w:t>为进一步落实监事长“排雷行动”工作要求，切实发挥好监督职能，不断提升风险防控能力，提高全员合规意识，根据《福建省农村信用社联合社办公室关于印发福建农信202</w:t>
      </w:r>
      <w:r>
        <w:rPr>
          <w:rFonts w:ascii="仿宋_GB2312" w:hAnsi="仿宋" w:eastAsia="仿宋_GB2312" w:cs="仿宋"/>
          <w:color w:val="auto"/>
          <w:sz w:val="32"/>
          <w:szCs w:val="32"/>
          <w:highlight w:val="none"/>
        </w:rPr>
        <w:t>4</w:t>
      </w:r>
      <w:r>
        <w:rPr>
          <w:rFonts w:hint="eastAsia" w:ascii="仿宋_GB2312" w:hAnsi="仿宋" w:eastAsia="仿宋_GB2312" w:cs="仿宋"/>
          <w:color w:val="auto"/>
          <w:sz w:val="32"/>
          <w:szCs w:val="32"/>
          <w:highlight w:val="none"/>
        </w:rPr>
        <w:t>年监事长“排雷行动”方案的通知》，</w:t>
      </w:r>
      <w:r>
        <w:rPr>
          <w:rFonts w:hint="eastAsia" w:ascii="仿宋_GB2312" w:eastAsia="仿宋_GB2312"/>
          <w:color w:val="auto"/>
          <w:sz w:val="32"/>
          <w:szCs w:val="32"/>
          <w:highlight w:val="none"/>
        </w:rPr>
        <w:t>制定了《连城县农村信用合作联社关于印发202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年监事长“排雷行动”工作方案的通知》</w:t>
      </w:r>
      <w:r>
        <w:rPr>
          <w:rFonts w:hint="eastAsia" w:ascii="仿宋_GB2312" w:hAnsi="仿宋" w:eastAsia="仿宋_GB2312" w:cs="仿宋"/>
          <w:color w:val="auto"/>
          <w:sz w:val="32"/>
          <w:szCs w:val="32"/>
          <w:highlight w:val="none"/>
        </w:rPr>
        <w:t>，对全县信用社开展监事长“排雷行动”。通过“点题式”方式开展监事长“排雷行动”，摸清</w:t>
      </w:r>
      <w:r>
        <w:rPr>
          <w:rFonts w:hint="eastAsia" w:ascii="仿宋_GB2312" w:hAnsi="仿宋" w:eastAsia="仿宋_GB2312" w:cs="仿宋"/>
          <w:bCs/>
          <w:color w:val="auto"/>
          <w:sz w:val="32"/>
          <w:szCs w:val="32"/>
          <w:highlight w:val="none"/>
        </w:rPr>
        <w:t xml:space="preserve"> “一个”或“一类”突出的问题，</w:t>
      </w:r>
      <w:r>
        <w:rPr>
          <w:rFonts w:hint="eastAsia" w:ascii="仿宋_GB2312" w:hAnsi="仿宋" w:eastAsia="仿宋_GB2312" w:cs="仿宋"/>
          <w:color w:val="auto"/>
          <w:sz w:val="32"/>
          <w:szCs w:val="32"/>
          <w:highlight w:val="none"/>
        </w:rPr>
        <w:t>识别</w:t>
      </w:r>
      <w:r>
        <w:rPr>
          <w:rFonts w:hint="eastAsia" w:ascii="仿宋_GB2312" w:hAnsi="仿宋" w:eastAsia="仿宋_GB2312" w:cs="仿宋"/>
          <w:bCs/>
          <w:color w:val="auto"/>
          <w:sz w:val="32"/>
          <w:szCs w:val="32"/>
          <w:highlight w:val="none"/>
        </w:rPr>
        <w:t>可能引发案件的风险隐患，把发现问题、解决问题作为“排雷行动”的出发点和落脚点，强化案防责任、遏制案发势头、前移案防关口、筑牢案防屏障，防微杜渐，真正把重大风险隐患消灭在萌芽状态；进一步提升</w:t>
      </w:r>
      <w:r>
        <w:rPr>
          <w:rFonts w:hint="eastAsia" w:ascii="仿宋_GB2312" w:hAnsi="仿宋" w:eastAsia="仿宋_GB2312" w:cs="仿宋"/>
          <w:bCs/>
          <w:color w:val="auto"/>
          <w:sz w:val="32"/>
          <w:szCs w:val="32"/>
          <w:highlight w:val="none"/>
          <w:lang w:eastAsia="zh-CN"/>
        </w:rPr>
        <w:t>本社</w:t>
      </w:r>
      <w:r>
        <w:rPr>
          <w:rFonts w:hint="eastAsia" w:ascii="仿宋_GB2312" w:hAnsi="仿宋" w:eastAsia="仿宋_GB2312" w:cs="仿宋"/>
          <w:bCs/>
          <w:color w:val="auto"/>
          <w:sz w:val="32"/>
          <w:szCs w:val="32"/>
          <w:highlight w:val="none"/>
        </w:rPr>
        <w:t>内控制度执行力，增强合规操守意识，促进员工自觉遵守规章制度、自觉执行内控要求、自觉抵制违规行为，防范案件风险</w:t>
      </w:r>
    </w:p>
    <w:p>
      <w:pPr>
        <w:keepNext w:val="0"/>
        <w:keepLines w:val="0"/>
        <w:pageBreakBefore w:val="0"/>
        <w:kinsoku/>
        <w:wordWrap/>
        <w:overflowPunct/>
        <w:topLinePunct w:val="0"/>
        <w:autoSpaceDE/>
        <w:bidi w:val="0"/>
        <w:spacing w:line="520" w:lineRule="exact"/>
        <w:ind w:firstLine="642" w:firstLineChars="200"/>
        <w:rPr>
          <w:rFonts w:ascii="仿宋_GB2312" w:eastAsia="仿宋_GB2312"/>
          <w:sz w:val="32"/>
          <w:szCs w:val="32"/>
          <w:highlight w:val="none"/>
        </w:rPr>
      </w:pPr>
      <w:r>
        <w:rPr>
          <w:rFonts w:hint="eastAsia" w:ascii="楷体_GB2312" w:hAnsi="楷体" w:eastAsia="楷体_GB2312" w:cs="Arial"/>
          <w:b/>
          <w:color w:val="auto"/>
          <w:sz w:val="32"/>
          <w:szCs w:val="32"/>
          <w:highlight w:val="none"/>
        </w:rPr>
        <w:t>(五)认真做好反洗钱工作。</w:t>
      </w:r>
      <w:r>
        <w:rPr>
          <w:rFonts w:hint="eastAsia" w:ascii="仿宋_GB2312" w:eastAsia="仿宋_GB2312"/>
          <w:sz w:val="32"/>
          <w:szCs w:val="32"/>
          <w:highlight w:val="none"/>
        </w:rPr>
        <w:t>为提高和增强社会公众配合反洗钱工作，警惕网络洗钱陷阱的意识，维护经济金融秩序，推动县域经济科学发展，预防和遏制洗钱违法犯罪活动，</w:t>
      </w:r>
      <w:r>
        <w:rPr>
          <w:rFonts w:hint="eastAsia" w:ascii="仿宋_GB2312" w:eastAsia="仿宋_GB2312"/>
          <w:sz w:val="32"/>
          <w:szCs w:val="32"/>
          <w:highlight w:val="none"/>
          <w:lang w:eastAsia="zh-CN"/>
        </w:rPr>
        <w:t>本社</w:t>
      </w:r>
      <w:r>
        <w:rPr>
          <w:rFonts w:hint="eastAsia" w:ascii="仿宋_GB2312" w:eastAsia="仿宋_GB2312"/>
          <w:sz w:val="32"/>
          <w:szCs w:val="32"/>
          <w:highlight w:val="none"/>
        </w:rPr>
        <w:t>结合民俗活动、福农驿站及乡镇小额支付便民点开展培训并同步开展反洗钱知识宣传及反洗钱辅导工作。</w:t>
      </w:r>
    </w:p>
    <w:p>
      <w:pPr>
        <w:keepNext w:val="0"/>
        <w:keepLines w:val="0"/>
        <w:pageBreakBefore w:val="0"/>
        <w:kinsoku/>
        <w:wordWrap/>
        <w:overflowPunct/>
        <w:topLinePunct w:val="0"/>
        <w:autoSpaceDE/>
        <w:bidi w:val="0"/>
        <w:spacing w:line="520" w:lineRule="exact"/>
        <w:ind w:firstLine="642" w:firstLineChars="200"/>
        <w:rPr>
          <w:rFonts w:hint="eastAsia" w:ascii="仿宋_GB2312" w:hAnsi="黑体" w:eastAsia="仿宋_GB2312"/>
          <w:sz w:val="32"/>
          <w:szCs w:val="32"/>
          <w:highlight w:val="none"/>
        </w:rPr>
      </w:pPr>
      <w:r>
        <w:rPr>
          <w:rFonts w:hint="eastAsia" w:ascii="楷体_GB2312" w:hAnsi="楷体" w:eastAsia="楷体_GB2312" w:cs="Arial"/>
          <w:b/>
          <w:sz w:val="32"/>
          <w:szCs w:val="32"/>
          <w:highlight w:val="none"/>
        </w:rPr>
        <w:t>（六）认真做好金融消费者权益保护工作。</w:t>
      </w:r>
      <w:r>
        <w:rPr>
          <w:rFonts w:hint="eastAsia" w:ascii="仿宋_GB2312" w:eastAsia="仿宋_GB2312"/>
          <w:sz w:val="32"/>
          <w:szCs w:val="32"/>
          <w:highlight w:val="none"/>
        </w:rPr>
        <w:t>为进一步落实中国人民银行令〔2020〕第5号《中国人民银行金融消费者权益保护实施办法》、中国银保监会《银行业保险业消费投诉处理管理办法》（银保监会令〔2020〕3号）等办法规定，制定了</w:t>
      </w:r>
      <w:r>
        <w:rPr>
          <w:rFonts w:hint="eastAsia" w:ascii="仿宋_GB2312" w:hAnsi="黑体" w:eastAsia="仿宋_GB2312" w:cs="仿宋_GB2312"/>
          <w:sz w:val="32"/>
          <w:szCs w:val="32"/>
          <w:highlight w:val="none"/>
        </w:rPr>
        <w:t>《连城县农村信用合作联社关于印发202</w:t>
      </w:r>
      <w:r>
        <w:rPr>
          <w:rFonts w:hint="eastAsia" w:ascii="仿宋_GB2312" w:hAnsi="黑体" w:eastAsia="仿宋_GB2312" w:cs="仿宋_GB2312"/>
          <w:sz w:val="32"/>
          <w:szCs w:val="32"/>
          <w:highlight w:val="none"/>
          <w:lang w:val="en-US" w:eastAsia="zh-CN"/>
        </w:rPr>
        <w:t>4</w:t>
      </w:r>
      <w:r>
        <w:rPr>
          <w:rFonts w:hint="eastAsia" w:ascii="仿宋_GB2312" w:hAnsi="黑体" w:eastAsia="仿宋_GB2312" w:cs="仿宋_GB2312"/>
          <w:sz w:val="32"/>
          <w:szCs w:val="32"/>
          <w:highlight w:val="none"/>
        </w:rPr>
        <w:t>年金融消费者权益保护工作计划的通知》《连城县农村信用合作联社关于印发202</w:t>
      </w:r>
      <w:r>
        <w:rPr>
          <w:rFonts w:hint="eastAsia" w:ascii="仿宋_GB2312" w:hAnsi="黑体" w:eastAsia="仿宋_GB2312" w:cs="仿宋_GB2312"/>
          <w:sz w:val="32"/>
          <w:szCs w:val="32"/>
          <w:highlight w:val="none"/>
          <w:lang w:val="en-US" w:eastAsia="zh-CN"/>
        </w:rPr>
        <w:t>4</w:t>
      </w:r>
      <w:r>
        <w:rPr>
          <w:rFonts w:hint="eastAsia" w:ascii="仿宋_GB2312" w:hAnsi="黑体" w:eastAsia="仿宋_GB2312" w:cs="仿宋_GB2312"/>
          <w:sz w:val="32"/>
          <w:szCs w:val="32"/>
          <w:highlight w:val="none"/>
        </w:rPr>
        <w:t>年消费者权益保护工作培训计划的通知》</w:t>
      </w:r>
      <w:r>
        <w:rPr>
          <w:rFonts w:hint="eastAsia" w:ascii="仿宋_GB2312" w:hAnsi="宋体" w:eastAsia="仿宋_GB2312" w:cs="宋体"/>
          <w:kern w:val="0"/>
          <w:sz w:val="32"/>
          <w:szCs w:val="32"/>
          <w:highlight w:val="none"/>
        </w:rPr>
        <w:t>。</w:t>
      </w:r>
      <w:r>
        <w:rPr>
          <w:rFonts w:hint="eastAsia" w:ascii="仿宋_GB2312" w:eastAsia="仿宋_GB2312"/>
          <w:sz w:val="32"/>
          <w:szCs w:val="32"/>
          <w:highlight w:val="none"/>
        </w:rPr>
        <w:t>在金融消费者保护工作委员会的领导下，由合规与风险管理部作为牵头部门，负责对辖内金融消费者权益保护工作的组织实施和指导，审计部负责处理金融消费者投诉事项等日常工作的沟通与联系。对客户投诉处理工作采取“统一管理、分级处理、专人负责、逐级上报”的管理模式。建立来电、来函、来访、聘请社会监督员多种形式，省联社、县联社等多种投诉机构的投诉渠道，对客户投诉的处理流程进行了明确规定，应对不同渠道的投诉设定了处理时效，要求在规定时间内将客户投诉进行化解。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连城联社没有发生重大群体事件和侵害消费者基本权益的行为，消费者基本权益方面的产品服务、价格收费、公平交易、金融宣传、文优服务、投诉处理和内部监督等工作取得了较好的成绩。2024年总发生投诉数量32件，办结数32件，办结率为100%。按投诉来源渠道分类，金监局龙岩分局转办10件、龙岩市消保中心转办16件、银行机构内部投诉4件、其他渠道2件；按投诉客户所在地区分类，全部来自连城县辖范围内；按投诉业务类型分类，人民币储蓄3件、个人住房贷款4件、个人汽车消费贷款1件、其他消费贷款1件、个人生产经营性贷款10件、借记卡账户管理1件、借记卡收费及挂失1件、借记卡使用1件、准贷记卡、社保卡等其他卡类业务3件、账户管理3件、代收代付业务2件、其他投诉2件；按金融消费者投诉原因分类，服务态度2件、业务操作及效率2件、业务差错6件、因金融机构服务设施、设备、业务系统引起的投诉1件、因金融机构管理制度、业务规则与流程引起的投诉20件、因定价收费引起的投诉1件。</w:t>
      </w:r>
    </w:p>
    <w:p>
      <w:pPr>
        <w:keepNext w:val="0"/>
        <w:keepLines w:val="0"/>
        <w:pageBreakBefore w:val="0"/>
        <w:kinsoku/>
        <w:wordWrap/>
        <w:overflowPunct/>
        <w:topLinePunct w:val="0"/>
        <w:autoSpaceDE/>
        <w:bidi w:val="0"/>
        <w:spacing w:line="520" w:lineRule="exact"/>
        <w:ind w:firstLine="640" w:firstLineChars="200"/>
        <w:rPr>
          <w:rFonts w:ascii="黑体" w:hAnsi="黑体" w:eastAsia="黑体"/>
          <w:sz w:val="32"/>
          <w:szCs w:val="32"/>
          <w:highlight w:val="none"/>
        </w:rPr>
      </w:pPr>
      <w:bookmarkStart w:id="8" w:name="_Toc511721821"/>
      <w:r>
        <w:rPr>
          <w:rFonts w:hint="eastAsia" w:ascii="黑体" w:hAnsi="黑体" w:eastAsia="黑体"/>
          <w:sz w:val="32"/>
          <w:szCs w:val="32"/>
          <w:highlight w:val="none"/>
        </w:rPr>
        <w:t>二、内部审计</w:t>
      </w:r>
    </w:p>
    <w:p>
      <w:pPr>
        <w:keepNext w:val="0"/>
        <w:keepLines w:val="0"/>
        <w:pageBreakBefore w:val="0"/>
        <w:kinsoku/>
        <w:wordWrap/>
        <w:overflowPunct/>
        <w:topLinePunct w:val="0"/>
        <w:autoSpaceDE/>
        <w:bidi w:val="0"/>
        <w:spacing w:line="52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2024</w:t>
      </w:r>
      <w:r>
        <w:rPr>
          <w:rFonts w:hint="eastAsia" w:ascii="仿宋_GB2312" w:eastAsia="仿宋_GB2312"/>
          <w:color w:val="auto"/>
          <w:sz w:val="32"/>
          <w:szCs w:val="32"/>
          <w:highlight w:val="none"/>
        </w:rPr>
        <w:t>年度，连城联社认真</w:t>
      </w:r>
      <w:r>
        <w:rPr>
          <w:rFonts w:ascii="仿宋_GB2312" w:eastAsia="仿宋_GB2312"/>
          <w:color w:val="auto"/>
          <w:sz w:val="32"/>
          <w:szCs w:val="32"/>
          <w:highlight w:val="none"/>
        </w:rPr>
        <w:t>贯彻落实年初的工作计划，</w:t>
      </w:r>
      <w:r>
        <w:rPr>
          <w:rFonts w:hint="eastAsia" w:ascii="仿宋_GB2312" w:eastAsia="仿宋_GB2312"/>
          <w:color w:val="auto"/>
          <w:sz w:val="32"/>
          <w:szCs w:val="32"/>
          <w:highlight w:val="none"/>
        </w:rPr>
        <w:t>以</w:t>
      </w:r>
      <w:r>
        <w:rPr>
          <w:rFonts w:ascii="仿宋_GB2312" w:eastAsia="仿宋_GB2312"/>
          <w:color w:val="auto"/>
          <w:sz w:val="32"/>
          <w:szCs w:val="32"/>
          <w:highlight w:val="none"/>
        </w:rPr>
        <w:t>2024</w:t>
      </w:r>
      <w:r>
        <w:rPr>
          <w:rFonts w:hint="eastAsia" w:ascii="仿宋_GB2312" w:eastAsia="仿宋_GB2312"/>
          <w:color w:val="auto"/>
          <w:sz w:val="32"/>
          <w:szCs w:val="32"/>
          <w:highlight w:val="none"/>
        </w:rPr>
        <w:t>年度福建农信审计项目实施计划</w:t>
      </w:r>
      <w:r>
        <w:rPr>
          <w:rFonts w:ascii="仿宋_GB2312" w:eastAsia="仿宋_GB2312"/>
          <w:color w:val="auto"/>
          <w:sz w:val="32"/>
          <w:szCs w:val="32"/>
          <w:highlight w:val="none"/>
        </w:rPr>
        <w:t>为指导，</w:t>
      </w:r>
      <w:r>
        <w:rPr>
          <w:rFonts w:hint="eastAsia" w:ascii="仿宋_GB2312" w:eastAsia="仿宋_GB2312"/>
          <w:color w:val="auto"/>
          <w:sz w:val="32"/>
          <w:szCs w:val="32"/>
          <w:highlight w:val="none"/>
        </w:rPr>
        <w:t>加强审计管理与系统应用的结合，创新非现场审计的方式方法，提高非现场审计效率和效果，切实提升审计质效，在继续抓好经济责任审计、非现场疑点排查等常规性稽核检查工作和日常稽核管理，同时结合我县农村信用社实际情况，有针对性地开展财务制度执行情况专项审计、员工异常行为专项排查、新增不良贷款专项检查、表外已核销贷款专项审计、</w:t>
      </w:r>
      <w:r>
        <w:rPr>
          <w:rFonts w:ascii="仿宋_GB2312" w:eastAsia="仿宋_GB2312"/>
          <w:color w:val="auto"/>
          <w:sz w:val="32"/>
          <w:szCs w:val="32"/>
          <w:highlight w:val="none"/>
        </w:rPr>
        <w:t>基层网点权限内贷款风险专项审计</w:t>
      </w:r>
      <w:r>
        <w:rPr>
          <w:rFonts w:hint="eastAsia" w:ascii="仿宋_GB2312" w:eastAsia="仿宋_GB2312"/>
          <w:color w:val="auto"/>
          <w:sz w:val="32"/>
          <w:szCs w:val="32"/>
          <w:highlight w:val="none"/>
        </w:rPr>
        <w:t>、</w:t>
      </w:r>
      <w:r>
        <w:rPr>
          <w:rFonts w:ascii="仿宋_GB2312" w:eastAsia="仿宋_GB2312"/>
          <w:color w:val="auto"/>
          <w:sz w:val="32"/>
          <w:szCs w:val="32"/>
          <w:highlight w:val="none"/>
        </w:rPr>
        <w:t>“征信、消保、反洗钱”管理综合审计</w:t>
      </w:r>
      <w:r>
        <w:rPr>
          <w:rFonts w:hint="eastAsia" w:ascii="仿宋_GB2312" w:eastAsia="仿宋_GB2312"/>
          <w:color w:val="auto"/>
          <w:sz w:val="32"/>
          <w:szCs w:val="32"/>
          <w:highlight w:val="none"/>
        </w:rPr>
        <w:t>、内控飞行检查、</w:t>
      </w:r>
      <w:r>
        <w:rPr>
          <w:rFonts w:ascii="仿宋_GB2312" w:eastAsia="仿宋_GB2312"/>
          <w:color w:val="auto"/>
          <w:sz w:val="32"/>
          <w:szCs w:val="32"/>
          <w:highlight w:val="none"/>
        </w:rPr>
        <w:t>重要岗位突击替岗审计</w:t>
      </w:r>
      <w:r>
        <w:rPr>
          <w:rFonts w:hint="eastAsia" w:ascii="仿宋_GB2312" w:eastAsia="仿宋_GB2312"/>
          <w:color w:val="auto"/>
          <w:sz w:val="32"/>
          <w:szCs w:val="32"/>
          <w:highlight w:val="none"/>
        </w:rPr>
        <w:t>、重要岗位员工离任离岗</w:t>
      </w:r>
      <w:r>
        <w:rPr>
          <w:rFonts w:ascii="仿宋_GB2312" w:eastAsia="仿宋_GB2312"/>
          <w:color w:val="auto"/>
          <w:sz w:val="32"/>
          <w:szCs w:val="32"/>
          <w:highlight w:val="none"/>
        </w:rPr>
        <w:t>审计</w:t>
      </w:r>
      <w:r>
        <w:rPr>
          <w:rFonts w:hint="eastAsia" w:ascii="仿宋_GB2312" w:eastAsia="仿宋_GB2312"/>
          <w:color w:val="auto"/>
          <w:sz w:val="32"/>
          <w:szCs w:val="32"/>
          <w:highlight w:val="none"/>
        </w:rPr>
        <w:t>等，进一步加强农村信用社内部检查监督，有效防范和化解金融风险，促进农村信用社各项工作规范化、制度化、合法化，保障各项业务依法、稳健经营，有力地促进各项业务的发展。一年来，针对各项检查都能做到有检查、有反馈、有督促整改、有后续检查，同时也加大了对违规问题的处罚力度，增强稽核监督的实效，共经济处罚</w:t>
      </w:r>
      <w:r>
        <w:rPr>
          <w:rFonts w:ascii="仿宋_GB2312" w:eastAsia="仿宋_GB2312"/>
          <w:color w:val="auto"/>
          <w:sz w:val="32"/>
          <w:szCs w:val="32"/>
          <w:highlight w:val="none"/>
        </w:rPr>
        <w:t>199</w:t>
      </w:r>
      <w:r>
        <w:rPr>
          <w:rFonts w:hint="eastAsia" w:ascii="仿宋_GB2312" w:eastAsia="仿宋_GB2312"/>
          <w:color w:val="auto"/>
          <w:sz w:val="32"/>
          <w:szCs w:val="32"/>
          <w:highlight w:val="none"/>
        </w:rPr>
        <w:t>人次，金额2</w:t>
      </w:r>
      <w:r>
        <w:rPr>
          <w:rFonts w:ascii="仿宋_GB2312" w:eastAsia="仿宋_GB2312"/>
          <w:color w:val="auto"/>
          <w:sz w:val="32"/>
          <w:szCs w:val="32"/>
          <w:highlight w:val="none"/>
        </w:rPr>
        <w:t>2.28</w:t>
      </w:r>
      <w:r>
        <w:rPr>
          <w:rFonts w:hint="eastAsia" w:ascii="仿宋_GB2312" w:eastAsia="仿宋_GB2312"/>
          <w:color w:val="auto"/>
          <w:sz w:val="32"/>
          <w:szCs w:val="32"/>
          <w:highlight w:val="none"/>
        </w:rPr>
        <w:t>万元;警告处分1人、诫勉谈话3人、通报批评2人；坚持监审联动，党纪警告处分2人、充分运用第一种形态对员工进行警示教育谈话</w:t>
      </w:r>
      <w:r>
        <w:rPr>
          <w:rFonts w:ascii="仿宋_GB2312" w:eastAsia="仿宋_GB2312"/>
          <w:color w:val="auto"/>
          <w:sz w:val="32"/>
          <w:szCs w:val="32"/>
          <w:highlight w:val="none"/>
        </w:rPr>
        <w:t>5</w:t>
      </w:r>
      <w:r>
        <w:rPr>
          <w:rFonts w:hint="eastAsia" w:ascii="仿宋_GB2312" w:eastAsia="仿宋_GB2312"/>
          <w:color w:val="auto"/>
          <w:sz w:val="32"/>
          <w:szCs w:val="32"/>
          <w:highlight w:val="none"/>
        </w:rPr>
        <w:t>人，</w:t>
      </w:r>
      <w:r>
        <w:rPr>
          <w:rFonts w:ascii="仿宋_GB2312" w:eastAsia="仿宋_GB2312"/>
          <w:color w:val="auto"/>
          <w:sz w:val="32"/>
          <w:szCs w:val="32"/>
          <w:highlight w:val="none"/>
        </w:rPr>
        <w:t>起到较好的警示效果</w:t>
      </w:r>
      <w:r>
        <w:rPr>
          <w:rFonts w:hint="eastAsia" w:ascii="仿宋_GB2312" w:eastAsia="仿宋_GB2312"/>
          <w:color w:val="auto"/>
          <w:sz w:val="32"/>
          <w:szCs w:val="32"/>
          <w:highlight w:val="none"/>
        </w:rPr>
        <w:t>。</w:t>
      </w:r>
    </w:p>
    <w:p>
      <w:pPr>
        <w:keepNext w:val="0"/>
        <w:keepLines w:val="0"/>
        <w:pageBreakBefore w:val="0"/>
        <w:kinsoku/>
        <w:wordWrap/>
        <w:overflowPunct/>
        <w:topLinePunct w:val="0"/>
        <w:autoSpaceDE/>
        <w:bidi w:val="0"/>
        <w:spacing w:line="520" w:lineRule="exact"/>
        <w:ind w:firstLine="640" w:firstLineChars="200"/>
        <w:rPr>
          <w:rFonts w:ascii="仿宋_GB2312" w:eastAsia="仿宋_GB2312"/>
          <w:color w:val="000000" w:themeColor="text1"/>
          <w:sz w:val="32"/>
          <w:szCs w:val="32"/>
          <w:highlight w:val="none"/>
        </w:rPr>
      </w:pPr>
    </w:p>
    <w:p>
      <w:pPr>
        <w:pStyle w:val="3"/>
        <w:keepNext w:val="0"/>
        <w:keepLines w:val="0"/>
        <w:pageBreakBefore w:val="0"/>
        <w:kinsoku/>
        <w:wordWrap/>
        <w:overflowPunct/>
        <w:topLinePunct w:val="0"/>
        <w:autoSpaceDE/>
        <w:bidi w:val="0"/>
        <w:spacing w:before="0" w:after="0" w:line="520" w:lineRule="exact"/>
        <w:jc w:val="center"/>
        <w:rPr>
          <w:rFonts w:ascii="黑体" w:hAnsi="仿宋" w:eastAsia="黑体"/>
          <w:b w:val="0"/>
          <w:bCs w:val="0"/>
          <w:kern w:val="2"/>
          <w:sz w:val="32"/>
          <w:szCs w:val="32"/>
          <w:highlight w:val="none"/>
        </w:rPr>
      </w:pPr>
      <w:r>
        <w:rPr>
          <w:rFonts w:hint="eastAsia" w:ascii="黑体" w:hAnsi="仿宋" w:eastAsia="黑体"/>
          <w:b w:val="0"/>
          <w:bCs w:val="0"/>
          <w:kern w:val="2"/>
          <w:sz w:val="32"/>
          <w:szCs w:val="32"/>
          <w:highlight w:val="none"/>
        </w:rPr>
        <w:t>第十一章  监事会报告</w:t>
      </w:r>
    </w:p>
    <w:p>
      <w:pPr>
        <w:keepNext w:val="0"/>
        <w:keepLines w:val="0"/>
        <w:pageBreakBefore w:val="0"/>
        <w:kinsoku/>
        <w:wordWrap/>
        <w:overflowPunct/>
        <w:topLinePunct w:val="0"/>
        <w:autoSpaceDE/>
        <w:bidi w:val="0"/>
        <w:spacing w:line="520" w:lineRule="exact"/>
        <w:ind w:firstLine="800" w:firstLineChars="250"/>
        <w:rPr>
          <w:rFonts w:ascii="黑体" w:hAnsi="黑体" w:eastAsia="黑体"/>
          <w:sz w:val="32"/>
          <w:szCs w:val="32"/>
          <w:highlight w:val="none"/>
        </w:rPr>
      </w:pPr>
      <w:r>
        <w:rPr>
          <w:rFonts w:hint="eastAsia" w:ascii="黑体" w:hAnsi="黑体" w:eastAsia="黑体"/>
          <w:sz w:val="32"/>
          <w:szCs w:val="32"/>
          <w:highlight w:val="none"/>
        </w:rPr>
        <w:t>一、202</w:t>
      </w:r>
      <w:r>
        <w:rPr>
          <w:rFonts w:hint="eastAsia" w:ascii="黑体" w:hAnsi="黑体" w:eastAsia="黑体"/>
          <w:sz w:val="32"/>
          <w:szCs w:val="32"/>
          <w:highlight w:val="none"/>
          <w:lang w:val="en-US" w:eastAsia="zh-CN"/>
        </w:rPr>
        <w:t>4</w:t>
      </w:r>
      <w:r>
        <w:rPr>
          <w:rFonts w:hint="eastAsia" w:ascii="黑体" w:hAnsi="黑体" w:eastAsia="黑体"/>
          <w:sz w:val="32"/>
          <w:szCs w:val="32"/>
          <w:highlight w:val="none"/>
        </w:rPr>
        <w:t>年履职情况</w:t>
      </w:r>
    </w:p>
    <w:p>
      <w:pPr>
        <w:keepNext w:val="0"/>
        <w:keepLines w:val="0"/>
        <w:pageBreakBefore w:val="0"/>
        <w:kinsoku/>
        <w:wordWrap/>
        <w:overflowPunct/>
        <w:topLinePunct w:val="0"/>
        <w:autoSpaceDE/>
        <w:bidi w:val="0"/>
        <w:spacing w:line="520" w:lineRule="exact"/>
        <w:ind w:firstLine="642" w:firstLineChars="200"/>
        <w:rPr>
          <w:rFonts w:ascii="楷体_GB2312" w:hAnsi="楷体" w:eastAsia="楷体_GB2312" w:cs="楷体"/>
          <w:b/>
          <w:bCs/>
          <w:sz w:val="32"/>
          <w:szCs w:val="32"/>
          <w:highlight w:val="none"/>
        </w:rPr>
      </w:pPr>
      <w:r>
        <w:rPr>
          <w:rFonts w:hint="eastAsia" w:ascii="楷体_GB2312" w:hAnsi="楷体" w:eastAsia="楷体_GB2312" w:cs="楷体"/>
          <w:b/>
          <w:bCs/>
          <w:sz w:val="32"/>
          <w:szCs w:val="32"/>
          <w:highlight w:val="none"/>
        </w:rPr>
        <w:t>（一）健全组织架构，当好公司治理“监督员”</w:t>
      </w:r>
    </w:p>
    <w:p>
      <w:pPr>
        <w:keepNext w:val="0"/>
        <w:keepLines w:val="0"/>
        <w:pageBreakBefore w:val="0"/>
        <w:kinsoku/>
        <w:wordWrap/>
        <w:overflowPunct/>
        <w:topLinePunct w:val="0"/>
        <w:autoSpaceDE/>
        <w:bidi w:val="0"/>
        <w:spacing w:line="520" w:lineRule="exact"/>
        <w:ind w:firstLine="642"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
          <w:sz w:val="32"/>
          <w:szCs w:val="32"/>
          <w:highlight w:val="none"/>
        </w:rPr>
        <w:t>1.加强自身体系建设，完善制度体系。</w:t>
      </w:r>
      <w:r>
        <w:rPr>
          <w:rFonts w:hint="eastAsia" w:ascii="仿宋_GB2312" w:hAnsi="仿宋_GB2312" w:eastAsia="仿宋_GB2312" w:cs="仿宋_GB2312"/>
          <w:bCs/>
          <w:sz w:val="32"/>
          <w:szCs w:val="32"/>
          <w:highlight w:val="none"/>
        </w:rPr>
        <w:t>以第六届监事会换届为契机，优化监事会成员组成结构。</w:t>
      </w:r>
      <w:r>
        <w:rPr>
          <w:rFonts w:hint="eastAsia" w:ascii="仿宋_GB2312" w:hAnsi="仿宋_GB2312" w:eastAsia="仿宋_GB2312" w:cs="仿宋_GB2312"/>
          <w:b/>
          <w:bCs/>
          <w:sz w:val="32"/>
          <w:szCs w:val="32"/>
          <w:highlight w:val="none"/>
        </w:rPr>
        <w:t>一是完善监事会的监督职能。</w:t>
      </w:r>
      <w:r>
        <w:rPr>
          <w:rFonts w:hint="eastAsia" w:ascii="仿宋_GB2312" w:hAnsi="仿宋_GB2312" w:eastAsia="仿宋_GB2312" w:cs="仿宋_GB2312"/>
          <w:bCs/>
          <w:sz w:val="32"/>
          <w:szCs w:val="32"/>
          <w:highlight w:val="none"/>
        </w:rPr>
        <w:t>通过将具有丰富审计经验的职工监事和外部监事补充进监事会队伍，提升内外部审计结果在监事会日常监督管理中的运用程度，方便监事会及时对联社经营情况进行全方位了解，提升监事会的专业性。</w:t>
      </w:r>
      <w:r>
        <w:rPr>
          <w:rFonts w:hint="eastAsia" w:ascii="仿宋_GB2312" w:hAnsi="仿宋_GB2312" w:eastAsia="仿宋_GB2312" w:cs="仿宋_GB2312"/>
          <w:b/>
          <w:bCs/>
          <w:sz w:val="32"/>
          <w:szCs w:val="32"/>
          <w:highlight w:val="none"/>
        </w:rPr>
        <w:t>二是补充完整监事会团队。</w:t>
      </w:r>
      <w:r>
        <w:rPr>
          <w:rFonts w:hint="eastAsia" w:ascii="仿宋_GB2312" w:hAnsi="仿宋_GB2312" w:eastAsia="仿宋_GB2312" w:cs="仿宋_GB2312"/>
          <w:bCs/>
          <w:sz w:val="32"/>
          <w:szCs w:val="32"/>
          <w:highlight w:val="none"/>
        </w:rPr>
        <w:t>2023年换届后，监事会按照章程配齐了全部的5名监事，设监事长1人，成员包括职工监事2名，企业法人监事1名，自然人股东监事1名，外部监事1名。符合《公司法》和《连城县农村信用合作联社章程》规定，监事会团队完整，履职能力进一步提升。</w:t>
      </w:r>
    </w:p>
    <w:p>
      <w:pPr>
        <w:keepNext w:val="0"/>
        <w:keepLines w:val="0"/>
        <w:pageBreakBefore w:val="0"/>
        <w:kinsoku/>
        <w:wordWrap/>
        <w:overflowPunct/>
        <w:topLinePunct w:val="0"/>
        <w:autoSpaceDE/>
        <w:autoSpaceDN/>
        <w:bidi w:val="0"/>
        <w:spacing w:after="0" w:line="520" w:lineRule="exact"/>
        <w:ind w:firstLine="642"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sz w:val="32"/>
          <w:szCs w:val="32"/>
          <w:highlight w:val="none"/>
        </w:rPr>
        <w:t>2.严格落实监事会会议制度。</w:t>
      </w:r>
      <w:r>
        <w:rPr>
          <w:rFonts w:hint="eastAsia" w:ascii="仿宋_GB2312" w:hAnsi="仿宋_GB2312" w:eastAsia="仿宋_GB2312" w:cs="仿宋_GB2312"/>
          <w:color w:val="auto"/>
          <w:sz w:val="32"/>
          <w:szCs w:val="32"/>
          <w:highlight w:val="none"/>
        </w:rPr>
        <w:t>严格按照《公司法》《</w:t>
      </w:r>
      <w:r>
        <w:rPr>
          <w:rFonts w:hint="eastAsia" w:ascii="仿宋_GB2312" w:hAnsi="仿宋_GB2312" w:eastAsia="仿宋_GB2312" w:cs="仿宋_GB2312"/>
          <w:bCs/>
          <w:color w:val="auto"/>
          <w:sz w:val="32"/>
          <w:szCs w:val="32"/>
          <w:highlight w:val="none"/>
        </w:rPr>
        <w:t>连城县农村信用合作联社章程</w:t>
      </w:r>
      <w:r>
        <w:rPr>
          <w:rFonts w:hint="eastAsia" w:ascii="仿宋_GB2312" w:hAnsi="仿宋_GB2312" w:eastAsia="仿宋_GB2312" w:cs="仿宋_GB2312"/>
          <w:color w:val="auto"/>
          <w:sz w:val="32"/>
          <w:szCs w:val="32"/>
          <w:highlight w:val="none"/>
        </w:rPr>
        <w:t>》及监管规定召开监事会。其中第</w:t>
      </w:r>
      <w:r>
        <w:rPr>
          <w:rFonts w:hint="eastAsia" w:ascii="仿宋_GB2312" w:hAnsi="仿宋_GB2312" w:eastAsia="仿宋_GB2312" w:cs="仿宋_GB2312"/>
          <w:color w:val="auto"/>
          <w:sz w:val="32"/>
          <w:szCs w:val="32"/>
          <w:highlight w:val="none"/>
          <w:lang w:eastAsia="zh-CN"/>
        </w:rPr>
        <w:t>六</w:t>
      </w:r>
      <w:r>
        <w:rPr>
          <w:rFonts w:hint="eastAsia" w:ascii="仿宋_GB2312" w:hAnsi="仿宋_GB2312" w:eastAsia="仿宋_GB2312" w:cs="仿宋_GB2312"/>
          <w:color w:val="auto"/>
          <w:sz w:val="32"/>
          <w:szCs w:val="32"/>
          <w:highlight w:val="none"/>
        </w:rPr>
        <w:t>届监事会召开</w:t>
      </w:r>
      <w:r>
        <w:rPr>
          <w:rFonts w:hint="eastAsia" w:ascii="仿宋_GB2312" w:hAnsi="仿宋_GB2312" w:eastAsia="仿宋_GB2312" w:cs="仿宋_GB2312"/>
          <w:color w:val="auto"/>
          <w:sz w:val="32"/>
          <w:szCs w:val="32"/>
          <w:highlight w:val="none"/>
          <w:lang w:eastAsia="zh-CN"/>
        </w:rPr>
        <w:t>正式</w:t>
      </w:r>
      <w:r>
        <w:rPr>
          <w:rFonts w:hint="eastAsia" w:ascii="仿宋_GB2312" w:hAnsi="仿宋_GB2312" w:eastAsia="仿宋_GB2312" w:cs="仿宋_GB2312"/>
          <w:color w:val="auto"/>
          <w:sz w:val="32"/>
          <w:szCs w:val="32"/>
          <w:highlight w:val="none"/>
        </w:rPr>
        <w:t>会议</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次，审议通过了《连城县农村信用合作联社监事会关于2023年度履职情况和2024年工作计划的报告》等</w:t>
      </w: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项议案；</w:t>
      </w:r>
      <w:r>
        <w:rPr>
          <w:rFonts w:hint="eastAsia" w:ascii="仿宋_GB2312" w:hAnsi="仿宋_GB2312" w:eastAsia="仿宋_GB2312" w:cs="仿宋_GB2312"/>
          <w:color w:val="auto"/>
          <w:sz w:val="32"/>
          <w:szCs w:val="32"/>
          <w:highlight w:val="none"/>
          <w:lang w:eastAsia="zh-CN"/>
        </w:rPr>
        <w:t>召开临时会议一次，审议通过了《连城县农村信用合作联社2023年度股金分红方案》</w:t>
      </w:r>
      <w:r>
        <w:rPr>
          <w:rFonts w:hint="eastAsia" w:ascii="仿宋_GB2312" w:hAnsi="仿宋_GB2312" w:eastAsia="仿宋_GB2312" w:cs="仿宋_GB2312"/>
          <w:color w:val="auto"/>
          <w:sz w:val="32"/>
          <w:szCs w:val="32"/>
          <w:highlight w:val="none"/>
        </w:rPr>
        <w:t>。监事成员均能严格按照议事规则认真审议议案，并积极发表各自的意见和建议，做到尽责履职。</w:t>
      </w:r>
    </w:p>
    <w:p>
      <w:pPr>
        <w:keepNext w:val="0"/>
        <w:keepLines w:val="0"/>
        <w:pageBreakBefore w:val="0"/>
        <w:kinsoku/>
        <w:wordWrap/>
        <w:overflowPunct/>
        <w:topLinePunct w:val="0"/>
        <w:autoSpaceDE/>
        <w:bidi w:val="0"/>
        <w:spacing w:line="520" w:lineRule="exact"/>
        <w:ind w:firstLine="642"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b/>
          <w:sz w:val="32"/>
          <w:szCs w:val="32"/>
          <w:highlight w:val="none"/>
        </w:rPr>
        <w:t>3.畅通双向沟通反馈通道。</w:t>
      </w:r>
      <w:r>
        <w:rPr>
          <w:rFonts w:hint="eastAsia" w:ascii="仿宋_GB2312" w:hAnsi="仿宋_GB2312" w:eastAsia="仿宋_GB2312" w:cs="仿宋_GB2312"/>
          <w:sz w:val="32"/>
          <w:szCs w:val="32"/>
          <w:highlight w:val="none"/>
        </w:rPr>
        <w:t>根据政策文件精神和有关法</w:t>
      </w:r>
      <w:r>
        <w:rPr>
          <w:rFonts w:hint="eastAsia" w:ascii="仿宋_GB2312" w:hAnsi="仿宋_GB2312" w:eastAsia="仿宋_GB2312" w:cs="仿宋_GB2312"/>
          <w:color w:val="auto"/>
          <w:sz w:val="32"/>
          <w:szCs w:val="32"/>
          <w:highlight w:val="none"/>
        </w:rPr>
        <w:t>律法规，结合理事会、高级管理层的经营方针和管理理念，监事会积极主动完成监事会负责的各项工作。</w:t>
      </w:r>
      <w:r>
        <w:rPr>
          <w:rFonts w:hint="eastAsia" w:ascii="仿宋_GB2312" w:hAnsi="仿宋_GB2312" w:eastAsia="仿宋_GB2312" w:cs="仿宋_GB2312"/>
          <w:b/>
          <w:color w:val="auto"/>
          <w:sz w:val="32"/>
          <w:szCs w:val="32"/>
          <w:highlight w:val="none"/>
        </w:rPr>
        <w:t>一是</w:t>
      </w:r>
      <w:r>
        <w:rPr>
          <w:rFonts w:hint="eastAsia" w:ascii="仿宋_GB2312" w:hAnsi="仿宋_GB2312" w:eastAsia="仿宋_GB2312" w:cs="仿宋_GB2312"/>
          <w:color w:val="auto"/>
          <w:sz w:val="32"/>
          <w:szCs w:val="32"/>
          <w:highlight w:val="none"/>
        </w:rPr>
        <w:t>通过列席理事会及其专门委员会，对重大决策活动全程监督；列席经营管理会议及其专门委员会，对重大经营管理活动的合规性进行全程监督；列席信贷审批、大额采购等专门委员会会议，对重大事项进行全流程监督管理，同时下沉网点一线开展督查，验证联社部门和网点工作落实的有效性和制度执行力，让监督贯穿决策执行和落实的全过程。</w:t>
      </w:r>
      <w:r>
        <w:rPr>
          <w:rFonts w:hint="eastAsia" w:ascii="仿宋_GB2312" w:hAnsi="仿宋_GB2312" w:eastAsia="仿宋_GB2312" w:cs="仿宋_GB2312"/>
          <w:b/>
          <w:bCs/>
          <w:color w:val="auto"/>
          <w:sz w:val="32"/>
          <w:szCs w:val="32"/>
          <w:highlight w:val="none"/>
        </w:rPr>
        <w:t>二是</w:t>
      </w:r>
      <w:r>
        <w:rPr>
          <w:rFonts w:hint="eastAsia" w:ascii="仿宋_GB2312" w:hAnsi="仿宋_GB2312" w:eastAsia="仿宋_GB2312" w:cs="仿宋_GB2312"/>
          <w:color w:val="auto"/>
          <w:sz w:val="32"/>
          <w:szCs w:val="32"/>
          <w:highlight w:val="none"/>
        </w:rPr>
        <w:t>严把选人用人关。监事长通过以纪委书记身份参与党委会对人事提拔任免的研究讨论工作以及发出党风廉政意见函等方式对人事任免工作进行监督。</w:t>
      </w:r>
      <w:r>
        <w:rPr>
          <w:rFonts w:hint="eastAsia" w:ascii="仿宋_GB2312" w:hAnsi="仿宋_GB2312" w:eastAsia="仿宋_GB2312" w:cs="仿宋_GB2312"/>
          <w:color w:val="auto"/>
          <w:kern w:val="0"/>
          <w:sz w:val="32"/>
          <w:szCs w:val="32"/>
          <w:highlight w:val="none"/>
        </w:rPr>
        <w:t>今年以来，累计发出回复党风廉政意见函9人次。组织任前廉政测试和任前廉政谈话9人次。</w:t>
      </w:r>
      <w:r>
        <w:rPr>
          <w:rFonts w:hint="eastAsia" w:ascii="仿宋_GB2312" w:hAnsi="仿宋_GB2312" w:eastAsia="仿宋_GB2312" w:cs="仿宋_GB2312"/>
          <w:b/>
          <w:color w:val="auto"/>
          <w:sz w:val="32"/>
          <w:szCs w:val="32"/>
          <w:highlight w:val="none"/>
        </w:rPr>
        <w:t>三是</w:t>
      </w:r>
      <w:r>
        <w:rPr>
          <w:rFonts w:hint="eastAsia" w:ascii="仿宋_GB2312" w:hAnsi="仿宋_GB2312" w:eastAsia="仿宋_GB2312" w:cs="仿宋_GB2312"/>
          <w:color w:val="auto"/>
          <w:sz w:val="32"/>
          <w:szCs w:val="32"/>
          <w:highlight w:val="none"/>
        </w:rPr>
        <w:t>加强与理事会、经营班子之间的沟通联系，通过日常沟通、发送建议书等方式将日常监督检查中发现的内部控制和风险管理上的问题及时与理事会、经营班子交换意见，推动理事会、经营班子落实股东大会各项决议，整改落实监督发现的问题，坚守经营定位，防范经营风险。202</w:t>
      </w:r>
      <w:r>
        <w:rPr>
          <w:rFonts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t>年，向经营班子发出2期《监事会管理建议书》，对2项业务规章制度、2项业务操作流程提出了修订完善建议，指出了本社在信贷管理、财务管理、不良资产管理、员工行为管理等方面的问题和风险，并提出解决问题的方法和防范化解风险的措施，并要求经营管理层及时采取措施加以纠正和防范，防止同类问题屡查屡犯，有效化解各类经营风险。</w:t>
      </w:r>
    </w:p>
    <w:p>
      <w:pPr>
        <w:keepNext w:val="0"/>
        <w:keepLines w:val="0"/>
        <w:pageBreakBefore w:val="0"/>
        <w:kinsoku/>
        <w:wordWrap/>
        <w:overflowPunct/>
        <w:topLinePunct w:val="0"/>
        <w:autoSpaceDE/>
        <w:bidi w:val="0"/>
        <w:spacing w:line="520" w:lineRule="exact"/>
        <w:ind w:firstLine="642"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4.不断完善履职评价工作。</w:t>
      </w:r>
      <w:r>
        <w:rPr>
          <w:rFonts w:hint="eastAsia" w:ascii="仿宋_GB2312" w:hAnsi="仿宋_GB2312" w:eastAsia="仿宋_GB2312" w:cs="仿宋_GB2312"/>
          <w:color w:val="auto"/>
          <w:sz w:val="32"/>
          <w:szCs w:val="32"/>
          <w:highlight w:val="none"/>
        </w:rPr>
        <w:t>遵循客观公正、定量定性相结合的原则，结合现场检查、非现场监管、市场准入、内外部审计、行业审计以及信访核查等情况，分别从履行忠实义务、履行勤勉义务、履职专业性、履职独立性与道德水准、履职合规性“五个维度”和从职业操守、监管落实、坚守定位、内部管理、法人治理、风险控制、资金业务、案件防控“八个维度”对理监事和高级管理人员进行履职评价，同时，将评价结果与年度考核、报酬等相结合，确保理监事充分履职。</w:t>
      </w:r>
    </w:p>
    <w:p>
      <w:pPr>
        <w:keepNext w:val="0"/>
        <w:keepLines w:val="0"/>
        <w:pageBreakBefore w:val="0"/>
        <w:tabs>
          <w:tab w:val="right" w:pos="8306"/>
        </w:tabs>
        <w:kinsoku/>
        <w:wordWrap/>
        <w:overflowPunct/>
        <w:topLinePunct w:val="0"/>
        <w:autoSpaceDE/>
        <w:bidi w:val="0"/>
        <w:spacing w:line="520" w:lineRule="exact"/>
        <w:ind w:firstLine="642" w:firstLineChars="200"/>
        <w:rPr>
          <w:rFonts w:ascii="楷体_GB2312" w:hAnsi="楷体" w:eastAsia="楷体_GB2312" w:cs="楷体"/>
          <w:b/>
          <w:bCs/>
          <w:color w:val="auto"/>
          <w:sz w:val="32"/>
          <w:szCs w:val="32"/>
          <w:highlight w:val="none"/>
        </w:rPr>
      </w:pPr>
      <w:r>
        <w:rPr>
          <w:rFonts w:hint="eastAsia" w:ascii="楷体_GB2312" w:hAnsi="楷体" w:eastAsia="楷体_GB2312" w:cs="楷体"/>
          <w:b/>
          <w:bCs/>
          <w:color w:val="auto"/>
          <w:sz w:val="32"/>
          <w:szCs w:val="32"/>
          <w:highlight w:val="none"/>
        </w:rPr>
        <w:t>（二）发挥内审实效，当好合规经营“听诊器”</w:t>
      </w:r>
      <w:r>
        <w:rPr>
          <w:rFonts w:hint="eastAsia" w:ascii="楷体_GB2312" w:hAnsi="楷体" w:eastAsia="楷体_GB2312" w:cs="楷体"/>
          <w:b/>
          <w:bCs/>
          <w:color w:val="auto"/>
          <w:sz w:val="32"/>
          <w:szCs w:val="32"/>
          <w:highlight w:val="none"/>
        </w:rPr>
        <w:tab/>
      </w:r>
    </w:p>
    <w:p>
      <w:pPr>
        <w:keepNext w:val="0"/>
        <w:keepLines w:val="0"/>
        <w:pageBreakBefore w:val="0"/>
        <w:widowControl/>
        <w:kinsoku/>
        <w:wordWrap/>
        <w:overflowPunct/>
        <w:topLinePunct w:val="0"/>
        <w:autoSpaceDE/>
        <w:bidi w:val="0"/>
        <w:adjustRightInd w:val="0"/>
        <w:snapToGrid w:val="0"/>
        <w:spacing w:line="520" w:lineRule="exact"/>
        <w:ind w:firstLine="642"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b/>
          <w:color w:val="auto"/>
          <w:kern w:val="0"/>
          <w:sz w:val="32"/>
          <w:szCs w:val="32"/>
          <w:highlight w:val="none"/>
        </w:rPr>
        <w:t>1.扎实推动内部审计开展，及时发现问题和薄弱环节。</w:t>
      </w:r>
      <w:r>
        <w:rPr>
          <w:rFonts w:hint="eastAsia" w:ascii="仿宋_GB2312" w:hAnsi="仿宋_GB2312" w:eastAsia="仿宋_GB2312" w:cs="仿宋_GB2312"/>
          <w:color w:val="auto"/>
          <w:kern w:val="0"/>
          <w:sz w:val="32"/>
          <w:szCs w:val="32"/>
          <w:highlight w:val="none"/>
        </w:rPr>
        <w:t>结合</w:t>
      </w:r>
      <w:r>
        <w:rPr>
          <w:rFonts w:hint="eastAsia" w:ascii="仿宋_GB2312" w:hAnsi="仿宋_GB2312" w:eastAsia="仿宋_GB2312" w:cs="仿宋_GB2312"/>
          <w:color w:val="auto"/>
          <w:kern w:val="0"/>
          <w:sz w:val="32"/>
          <w:szCs w:val="32"/>
          <w:highlight w:val="none"/>
          <w:lang w:eastAsia="zh-CN"/>
        </w:rPr>
        <w:t>本社</w:t>
      </w:r>
      <w:r>
        <w:rPr>
          <w:rFonts w:hint="eastAsia" w:ascii="仿宋_GB2312" w:hAnsi="仿宋_GB2312" w:eastAsia="仿宋_GB2312" w:cs="仿宋_GB2312"/>
          <w:color w:val="auto"/>
          <w:kern w:val="0"/>
          <w:sz w:val="32"/>
          <w:szCs w:val="32"/>
          <w:highlight w:val="none"/>
        </w:rPr>
        <w:t>经营管理情况，突出审计重点，紧盯主要业务风险，重点关注重要内控领域薄弱环节，强化非现场监督，实时监测各类风险信息，并根据关键线索开展各类检查项目。一是开展了</w:t>
      </w:r>
      <w:r>
        <w:rPr>
          <w:rFonts w:ascii="仿宋_GB2312" w:hAnsi="仿宋_GB2312" w:eastAsia="仿宋_GB2312" w:cs="仿宋_GB2312"/>
          <w:color w:val="auto"/>
          <w:kern w:val="0"/>
          <w:sz w:val="32"/>
          <w:szCs w:val="32"/>
          <w:highlight w:val="none"/>
        </w:rPr>
        <w:t>24</w:t>
      </w:r>
      <w:r>
        <w:rPr>
          <w:rFonts w:hint="eastAsia" w:ascii="仿宋_GB2312" w:hAnsi="仿宋_GB2312" w:eastAsia="仿宋_GB2312" w:cs="仿宋_GB2312"/>
          <w:color w:val="auto"/>
          <w:kern w:val="0"/>
          <w:sz w:val="32"/>
          <w:szCs w:val="32"/>
          <w:highlight w:val="none"/>
        </w:rPr>
        <w:t>场现场稽核检查，对重要岗位员工开展了</w:t>
      </w:r>
      <w:r>
        <w:rPr>
          <w:rFonts w:ascii="仿宋_GB2312" w:hAnsi="仿宋_GB2312" w:eastAsia="仿宋_GB2312" w:cs="仿宋_GB2312"/>
          <w:color w:val="auto"/>
          <w:kern w:val="0"/>
          <w:sz w:val="32"/>
          <w:szCs w:val="32"/>
          <w:highlight w:val="none"/>
        </w:rPr>
        <w:t>8</w:t>
      </w:r>
      <w:r>
        <w:rPr>
          <w:rFonts w:hint="eastAsia" w:ascii="仿宋_GB2312" w:hAnsi="仿宋_GB2312" w:eastAsia="仿宋_GB2312" w:cs="仿宋_GB2312"/>
          <w:color w:val="auto"/>
          <w:kern w:val="0"/>
          <w:sz w:val="32"/>
          <w:szCs w:val="32"/>
          <w:highlight w:val="none"/>
        </w:rPr>
        <w:t>次风险提醒、警示谈话，编发了4期《稽核检查风险提示》，发现问题</w:t>
      </w:r>
      <w:r>
        <w:rPr>
          <w:rFonts w:ascii="仿宋_GB2312" w:hAnsi="仿宋_GB2312" w:eastAsia="仿宋_GB2312" w:cs="仿宋_GB2312"/>
          <w:color w:val="auto"/>
          <w:kern w:val="0"/>
          <w:sz w:val="32"/>
          <w:szCs w:val="32"/>
          <w:highlight w:val="none"/>
        </w:rPr>
        <w:t>267</w:t>
      </w:r>
      <w:r>
        <w:rPr>
          <w:rFonts w:hint="eastAsia" w:ascii="仿宋_GB2312" w:hAnsi="仿宋_GB2312" w:eastAsia="仿宋_GB2312" w:cs="仿宋_GB2312"/>
          <w:color w:val="auto"/>
          <w:kern w:val="0"/>
          <w:sz w:val="32"/>
          <w:szCs w:val="32"/>
          <w:highlight w:val="none"/>
        </w:rPr>
        <w:t>条，下发整改意见书、风险提示书2</w:t>
      </w:r>
      <w:r>
        <w:rPr>
          <w:rFonts w:ascii="仿宋_GB2312" w:hAnsi="仿宋_GB2312" w:eastAsia="仿宋_GB2312" w:cs="仿宋_GB2312"/>
          <w:color w:val="auto"/>
          <w:kern w:val="0"/>
          <w:sz w:val="32"/>
          <w:szCs w:val="32"/>
          <w:highlight w:val="none"/>
        </w:rPr>
        <w:t>8</w:t>
      </w:r>
      <w:r>
        <w:rPr>
          <w:rFonts w:hint="eastAsia" w:ascii="仿宋_GB2312" w:hAnsi="仿宋_GB2312" w:eastAsia="仿宋_GB2312" w:cs="仿宋_GB2312"/>
          <w:color w:val="auto"/>
          <w:kern w:val="0"/>
          <w:sz w:val="32"/>
          <w:szCs w:val="32"/>
          <w:highlight w:val="none"/>
        </w:rPr>
        <w:t>份，提出整改处理意见</w:t>
      </w:r>
      <w:r>
        <w:rPr>
          <w:rFonts w:ascii="仿宋_GB2312" w:hAnsi="仿宋_GB2312" w:eastAsia="仿宋_GB2312" w:cs="仿宋_GB2312"/>
          <w:color w:val="auto"/>
          <w:kern w:val="0"/>
          <w:sz w:val="32"/>
          <w:szCs w:val="32"/>
          <w:highlight w:val="none"/>
        </w:rPr>
        <w:t>77</w:t>
      </w:r>
      <w:r>
        <w:rPr>
          <w:rFonts w:hint="eastAsia" w:ascii="仿宋_GB2312" w:hAnsi="仿宋_GB2312" w:eastAsia="仿宋_GB2312" w:cs="仿宋_GB2312"/>
          <w:color w:val="auto"/>
          <w:kern w:val="0"/>
          <w:sz w:val="32"/>
          <w:szCs w:val="32"/>
          <w:highlight w:val="none"/>
        </w:rPr>
        <w:t>条，督促落实整改</w:t>
      </w:r>
      <w:r>
        <w:rPr>
          <w:rFonts w:ascii="仿宋_GB2312" w:hAnsi="仿宋_GB2312" w:eastAsia="仿宋_GB2312" w:cs="仿宋_GB2312"/>
          <w:color w:val="auto"/>
          <w:kern w:val="0"/>
          <w:sz w:val="32"/>
          <w:szCs w:val="32"/>
          <w:highlight w:val="none"/>
        </w:rPr>
        <w:t>267</w:t>
      </w:r>
      <w:r>
        <w:rPr>
          <w:rFonts w:hint="eastAsia" w:ascii="仿宋_GB2312" w:hAnsi="仿宋_GB2312" w:eastAsia="仿宋_GB2312" w:cs="仿宋_GB2312"/>
          <w:color w:val="auto"/>
          <w:kern w:val="0"/>
          <w:sz w:val="32"/>
          <w:szCs w:val="32"/>
          <w:highlight w:val="none"/>
        </w:rPr>
        <w:t>条；二是对中层管</w:t>
      </w:r>
      <w:r>
        <w:rPr>
          <w:rFonts w:hint="eastAsia" w:ascii="仿宋_GB2312" w:hAnsi="仿宋_GB2312" w:eastAsia="仿宋_GB2312" w:cs="仿宋_GB2312"/>
          <w:kern w:val="0"/>
          <w:sz w:val="32"/>
          <w:szCs w:val="32"/>
          <w:highlight w:val="none"/>
        </w:rPr>
        <w:t>理</w:t>
      </w:r>
      <w:r>
        <w:rPr>
          <w:rFonts w:hint="eastAsia" w:ascii="仿宋_GB2312" w:hAnsi="仿宋_GB2312" w:eastAsia="仿宋_GB2312" w:cs="仿宋_GB2312"/>
          <w:kern w:val="0"/>
          <w:sz w:val="32"/>
          <w:szCs w:val="32"/>
          <w:highlight w:val="none"/>
          <w:lang w:eastAsia="zh-CN"/>
        </w:rPr>
        <w:t>岗</w:t>
      </w:r>
      <w:r>
        <w:rPr>
          <w:rFonts w:ascii="仿宋_GB2312" w:hAnsi="仿宋_GB2312" w:eastAsia="仿宋_GB2312" w:cs="仿宋_GB2312"/>
          <w:kern w:val="0"/>
          <w:sz w:val="32"/>
          <w:szCs w:val="32"/>
          <w:highlight w:val="none"/>
        </w:rPr>
        <w:t>5</w:t>
      </w:r>
      <w:r>
        <w:rPr>
          <w:rFonts w:hint="eastAsia" w:ascii="仿宋_GB2312" w:hAnsi="仿宋_GB2312" w:eastAsia="仿宋_GB2312" w:cs="仿宋_GB2312"/>
          <w:kern w:val="0"/>
          <w:sz w:val="32"/>
          <w:szCs w:val="32"/>
          <w:highlight w:val="none"/>
        </w:rPr>
        <w:t>名网点主任、重要岗位</w:t>
      </w:r>
      <w:r>
        <w:rPr>
          <w:rFonts w:ascii="仿宋_GB2312" w:hAnsi="仿宋_GB2312" w:eastAsia="仿宋_GB2312" w:cs="仿宋_GB2312"/>
          <w:kern w:val="0"/>
          <w:sz w:val="32"/>
          <w:szCs w:val="32"/>
          <w:highlight w:val="none"/>
        </w:rPr>
        <w:t>3</w:t>
      </w:r>
      <w:r>
        <w:rPr>
          <w:rFonts w:hint="eastAsia" w:ascii="仿宋_GB2312" w:hAnsi="仿宋_GB2312" w:eastAsia="仿宋_GB2312" w:cs="仿宋_GB2312"/>
          <w:kern w:val="0"/>
          <w:sz w:val="32"/>
          <w:szCs w:val="32"/>
          <w:highlight w:val="none"/>
        </w:rPr>
        <w:t>名客户经理、1名</w:t>
      </w:r>
      <w:r>
        <w:rPr>
          <w:rFonts w:ascii="仿宋_GB2312" w:hAnsi="仿宋_GB2312" w:eastAsia="仿宋_GB2312" w:cs="仿宋_GB2312"/>
          <w:kern w:val="0"/>
          <w:sz w:val="32"/>
          <w:szCs w:val="32"/>
          <w:highlight w:val="none"/>
        </w:rPr>
        <w:t>主办会计</w:t>
      </w:r>
      <w:r>
        <w:rPr>
          <w:rFonts w:hint="eastAsia" w:ascii="仿宋_GB2312" w:hAnsi="仿宋_GB2312" w:eastAsia="仿宋_GB2312" w:cs="仿宋_GB2312"/>
          <w:kern w:val="0"/>
          <w:sz w:val="32"/>
          <w:szCs w:val="32"/>
          <w:highlight w:val="none"/>
          <w:lang w:eastAsia="zh-CN"/>
        </w:rPr>
        <w:t>等</w:t>
      </w:r>
      <w:r>
        <w:rPr>
          <w:rFonts w:hint="eastAsia" w:ascii="仿宋_GB2312" w:hAnsi="仿宋_GB2312" w:eastAsia="仿宋_GB2312" w:cs="仿宋_GB2312"/>
          <w:color w:val="auto"/>
          <w:kern w:val="0"/>
          <w:sz w:val="32"/>
          <w:szCs w:val="32"/>
          <w:highlight w:val="none"/>
        </w:rPr>
        <w:t>离任、离岗的人员进行了经济责任审计；由联社</w:t>
      </w:r>
      <w:r>
        <w:rPr>
          <w:rFonts w:ascii="仿宋_GB2312" w:hAnsi="仿宋_GB2312" w:eastAsia="仿宋_GB2312" w:cs="仿宋_GB2312"/>
          <w:color w:val="auto"/>
          <w:kern w:val="0"/>
          <w:sz w:val="32"/>
          <w:szCs w:val="32"/>
          <w:highlight w:val="none"/>
        </w:rPr>
        <w:t>监事长</w:t>
      </w:r>
      <w:r>
        <w:rPr>
          <w:rFonts w:hint="eastAsia" w:ascii="仿宋_GB2312" w:hAnsi="仿宋_GB2312" w:eastAsia="仿宋_GB2312" w:cs="仿宋_GB2312"/>
          <w:color w:val="auto"/>
          <w:kern w:val="0"/>
          <w:sz w:val="32"/>
          <w:szCs w:val="32"/>
          <w:highlight w:val="none"/>
        </w:rPr>
        <w:t>亲自带队，</w:t>
      </w:r>
      <w:r>
        <w:rPr>
          <w:rFonts w:hint="eastAsia" w:ascii="仿宋_GB2312" w:hAnsi="仿宋_GB2312" w:eastAsia="仿宋_GB2312" w:cs="仿宋_GB2312"/>
          <w:color w:val="auto"/>
          <w:kern w:val="0"/>
          <w:sz w:val="32"/>
          <w:szCs w:val="32"/>
          <w:highlight w:val="none"/>
          <w:lang w:val="en-US" w:eastAsia="zh-CN"/>
        </w:rPr>
        <w:t>合规与风险管理</w:t>
      </w:r>
      <w:r>
        <w:rPr>
          <w:rFonts w:hint="eastAsia" w:ascii="仿宋_GB2312" w:hAnsi="仿宋_GB2312" w:eastAsia="仿宋_GB2312" w:cs="仿宋_GB2312"/>
          <w:color w:val="auto"/>
          <w:kern w:val="0"/>
          <w:sz w:val="32"/>
          <w:szCs w:val="32"/>
          <w:highlight w:val="none"/>
        </w:rPr>
        <w:t>部、审计部、</w:t>
      </w:r>
      <w:r>
        <w:rPr>
          <w:rFonts w:hint="eastAsia" w:ascii="仿宋_GB2312" w:hAnsi="仿宋_GB2312" w:eastAsia="仿宋_GB2312" w:cs="仿宋_GB2312"/>
          <w:color w:val="auto"/>
          <w:kern w:val="0"/>
          <w:sz w:val="32"/>
          <w:szCs w:val="32"/>
          <w:highlight w:val="none"/>
          <w:lang w:val="en-US" w:eastAsia="zh-CN"/>
        </w:rPr>
        <w:t>财务会计</w:t>
      </w:r>
      <w:r>
        <w:rPr>
          <w:rFonts w:hint="eastAsia" w:ascii="仿宋_GB2312" w:hAnsi="仿宋_GB2312" w:eastAsia="仿宋_GB2312" w:cs="仿宋_GB2312"/>
          <w:color w:val="auto"/>
          <w:kern w:val="0"/>
          <w:sz w:val="32"/>
          <w:szCs w:val="32"/>
          <w:highlight w:val="none"/>
        </w:rPr>
        <w:t>部</w:t>
      </w:r>
      <w:r>
        <w:rPr>
          <w:rFonts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rPr>
        <w:t>运营</w:t>
      </w:r>
      <w:r>
        <w:rPr>
          <w:rFonts w:hint="eastAsia" w:ascii="仿宋_GB2312" w:hAnsi="仿宋_GB2312" w:eastAsia="仿宋_GB2312" w:cs="仿宋_GB2312"/>
          <w:color w:val="auto"/>
          <w:kern w:val="0"/>
          <w:sz w:val="32"/>
          <w:szCs w:val="32"/>
          <w:highlight w:val="none"/>
          <w:lang w:val="en-US" w:eastAsia="zh-CN"/>
        </w:rPr>
        <w:t>管理</w:t>
      </w:r>
      <w:r>
        <w:rPr>
          <w:rFonts w:hint="eastAsia" w:ascii="仿宋_GB2312" w:hAnsi="仿宋_GB2312" w:eastAsia="仿宋_GB2312" w:cs="仿宋_GB2312"/>
          <w:color w:val="auto"/>
          <w:kern w:val="0"/>
          <w:sz w:val="32"/>
          <w:szCs w:val="32"/>
          <w:highlight w:val="none"/>
        </w:rPr>
        <w:t>部、安全保卫部、</w:t>
      </w:r>
      <w:r>
        <w:rPr>
          <w:rFonts w:ascii="仿宋_GB2312" w:hAnsi="仿宋_GB2312" w:eastAsia="仿宋_GB2312" w:cs="仿宋_GB2312"/>
          <w:color w:val="auto"/>
          <w:kern w:val="0"/>
          <w:sz w:val="32"/>
          <w:szCs w:val="32"/>
          <w:highlight w:val="none"/>
        </w:rPr>
        <w:t>普惠金融部、信息科技部</w:t>
      </w:r>
      <w:r>
        <w:rPr>
          <w:rFonts w:hint="eastAsia" w:ascii="仿宋_GB2312" w:hAnsi="仿宋_GB2312" w:eastAsia="仿宋_GB2312" w:cs="仿宋_GB2312"/>
          <w:color w:val="auto"/>
          <w:kern w:val="0"/>
          <w:sz w:val="32"/>
          <w:szCs w:val="32"/>
          <w:highlight w:val="none"/>
        </w:rPr>
        <w:t>七部门联动配合，组成专项检查小组，通过“点题式”方式开展监事长“排雷行动”，摸清</w:t>
      </w:r>
      <w:r>
        <w:rPr>
          <w:rFonts w:hint="eastAsia" w:ascii="仿宋_GB2312" w:hAnsi="仿宋_GB2312" w:eastAsia="仿宋_GB2312" w:cs="仿宋_GB2312"/>
          <w:bCs/>
          <w:color w:val="auto"/>
          <w:kern w:val="0"/>
          <w:sz w:val="32"/>
          <w:szCs w:val="32"/>
          <w:highlight w:val="none"/>
        </w:rPr>
        <w:t xml:space="preserve"> “一个”或“一类”突出的问题，</w:t>
      </w:r>
      <w:r>
        <w:rPr>
          <w:rFonts w:hint="eastAsia" w:ascii="仿宋_GB2312" w:hAnsi="仿宋_GB2312" w:eastAsia="仿宋_GB2312" w:cs="仿宋_GB2312"/>
          <w:color w:val="auto"/>
          <w:kern w:val="0"/>
          <w:sz w:val="32"/>
          <w:szCs w:val="32"/>
          <w:highlight w:val="none"/>
        </w:rPr>
        <w:t>识别</w:t>
      </w:r>
      <w:r>
        <w:rPr>
          <w:rFonts w:hint="eastAsia" w:ascii="仿宋_GB2312" w:hAnsi="仿宋_GB2312" w:eastAsia="仿宋_GB2312" w:cs="仿宋_GB2312"/>
          <w:bCs/>
          <w:color w:val="auto"/>
          <w:kern w:val="0"/>
          <w:sz w:val="32"/>
          <w:szCs w:val="32"/>
          <w:highlight w:val="none"/>
        </w:rPr>
        <w:t>可能引发案件的风险隐患，</w:t>
      </w:r>
      <w:r>
        <w:rPr>
          <w:rFonts w:hint="eastAsia" w:ascii="仿宋_GB2312" w:hAnsi="仿宋_GB2312" w:eastAsia="仿宋_GB2312" w:cs="仿宋_GB2312"/>
          <w:color w:val="auto"/>
          <w:kern w:val="0"/>
          <w:sz w:val="32"/>
          <w:szCs w:val="32"/>
          <w:highlight w:val="none"/>
        </w:rPr>
        <w:t>把发现问题、解决问题作为“排雷行动”的出发点和落脚点，强化案防责任、遏制案发势头、前移案防关口、筑牢案防屏障，防微杜渐，真正把重大风险隐患消灭在萌芽状态。</w:t>
      </w:r>
    </w:p>
    <w:p>
      <w:pPr>
        <w:keepNext w:val="0"/>
        <w:keepLines w:val="0"/>
        <w:pageBreakBefore w:val="0"/>
        <w:kinsoku/>
        <w:wordWrap/>
        <w:overflowPunct/>
        <w:topLinePunct w:val="0"/>
        <w:autoSpaceDE/>
        <w:bidi w:val="0"/>
        <w:spacing w:line="520" w:lineRule="exact"/>
        <w:ind w:firstLine="642"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kern w:val="0"/>
          <w:sz w:val="32"/>
          <w:szCs w:val="32"/>
          <w:highlight w:val="none"/>
        </w:rPr>
        <w:t>2.抓好问题整改和问责，推动业务经营发展良性循环。</w:t>
      </w:r>
      <w:r>
        <w:rPr>
          <w:rFonts w:hint="eastAsia" w:ascii="仿宋_GB2312" w:hAnsi="仿宋_GB2312" w:eastAsia="仿宋_GB2312" w:cs="仿宋_GB2312"/>
          <w:color w:val="auto"/>
          <w:kern w:val="0"/>
          <w:sz w:val="32"/>
          <w:szCs w:val="32"/>
          <w:highlight w:val="none"/>
        </w:rPr>
        <w:t>对外部单位、上级部门及本社审计部门日常审计发现的问题，及时督促相关部（室）、网点对审计发现的问题整改落实，定期对审计整改情况进行跟踪检查，确保检查有实效。对检查发现的违规行为及整改不落实、屡查屡犯的现象予以全社通报，并对检查中发现的违规行为相关责任人进行严厉处罚，以儆效尤。至2024年末，内部审计检查通过督促问责，共经济处罚经济处罚</w:t>
      </w:r>
      <w:r>
        <w:rPr>
          <w:rFonts w:ascii="仿宋_GB2312" w:hAnsi="仿宋_GB2312" w:eastAsia="仿宋_GB2312" w:cs="仿宋_GB2312"/>
          <w:color w:val="auto"/>
          <w:kern w:val="0"/>
          <w:sz w:val="32"/>
          <w:szCs w:val="32"/>
          <w:highlight w:val="none"/>
        </w:rPr>
        <w:t>199</w:t>
      </w:r>
      <w:r>
        <w:rPr>
          <w:rFonts w:hint="eastAsia" w:ascii="仿宋_GB2312" w:hAnsi="仿宋_GB2312" w:eastAsia="仿宋_GB2312" w:cs="仿宋_GB2312"/>
          <w:color w:val="auto"/>
          <w:kern w:val="0"/>
          <w:sz w:val="32"/>
          <w:szCs w:val="32"/>
          <w:highlight w:val="none"/>
        </w:rPr>
        <w:t>人次，金额2</w:t>
      </w:r>
      <w:r>
        <w:rPr>
          <w:rFonts w:ascii="仿宋_GB2312" w:hAnsi="仿宋_GB2312" w:eastAsia="仿宋_GB2312" w:cs="仿宋_GB2312"/>
          <w:color w:val="auto"/>
          <w:kern w:val="0"/>
          <w:sz w:val="32"/>
          <w:szCs w:val="32"/>
          <w:highlight w:val="none"/>
        </w:rPr>
        <w:t>2</w:t>
      </w:r>
      <w:r>
        <w:rPr>
          <w:rFonts w:hint="eastAsia" w:ascii="仿宋_GB2312" w:hAnsi="仿宋_GB2312" w:eastAsia="仿宋_GB2312" w:cs="仿宋_GB2312"/>
          <w:color w:val="auto"/>
          <w:kern w:val="0"/>
          <w:sz w:val="32"/>
          <w:szCs w:val="32"/>
          <w:highlight w:val="none"/>
        </w:rPr>
        <w:t>.</w:t>
      </w:r>
      <w:r>
        <w:rPr>
          <w:rFonts w:ascii="仿宋_GB2312" w:hAnsi="仿宋_GB2312" w:eastAsia="仿宋_GB2312" w:cs="仿宋_GB2312"/>
          <w:color w:val="auto"/>
          <w:kern w:val="0"/>
          <w:sz w:val="32"/>
          <w:szCs w:val="32"/>
          <w:highlight w:val="none"/>
        </w:rPr>
        <w:t>28</w:t>
      </w:r>
      <w:r>
        <w:rPr>
          <w:rFonts w:hint="eastAsia" w:ascii="仿宋_GB2312" w:hAnsi="仿宋_GB2312" w:eastAsia="仿宋_GB2312" w:cs="仿宋_GB2312"/>
          <w:color w:val="auto"/>
          <w:kern w:val="0"/>
          <w:sz w:val="32"/>
          <w:szCs w:val="32"/>
          <w:highlight w:val="none"/>
        </w:rPr>
        <w:t>万元;警告处分1人、诫勉谈话3人、通报批评2人，</w:t>
      </w:r>
      <w:r>
        <w:rPr>
          <w:rFonts w:hint="eastAsia" w:ascii="仿宋_GB2312" w:hAnsi="仿宋_GB2312" w:eastAsia="仿宋_GB2312" w:cs="仿宋_GB2312"/>
          <w:color w:val="auto"/>
          <w:sz w:val="32"/>
          <w:szCs w:val="32"/>
          <w:highlight w:val="none"/>
        </w:rPr>
        <w:t>对已结项项目均已督促落实整改，整改率100%，进一步增强员工合规经营的自觉性和自控力，提升员工合规风险防控水平。</w:t>
      </w:r>
    </w:p>
    <w:p>
      <w:pPr>
        <w:keepNext w:val="0"/>
        <w:keepLines w:val="0"/>
        <w:pageBreakBefore w:val="0"/>
        <w:kinsoku/>
        <w:wordWrap/>
        <w:overflowPunct/>
        <w:topLinePunct w:val="0"/>
        <w:autoSpaceDE/>
        <w:bidi w:val="0"/>
        <w:spacing w:line="520" w:lineRule="exact"/>
        <w:ind w:firstLine="642" w:firstLineChars="200"/>
        <w:rPr>
          <w:rFonts w:ascii="楷体_GB2312" w:hAnsi="楷体" w:eastAsia="楷体_GB2312" w:cs="楷体"/>
          <w:b/>
          <w:bCs/>
          <w:color w:val="auto"/>
          <w:sz w:val="32"/>
          <w:szCs w:val="32"/>
          <w:highlight w:val="none"/>
        </w:rPr>
      </w:pPr>
      <w:r>
        <w:rPr>
          <w:rFonts w:hint="eastAsia" w:ascii="楷体_GB2312" w:hAnsi="楷体" w:eastAsia="楷体_GB2312" w:cs="楷体"/>
          <w:b/>
          <w:bCs/>
          <w:color w:val="auto"/>
          <w:sz w:val="32"/>
          <w:szCs w:val="32"/>
          <w:highlight w:val="none"/>
        </w:rPr>
        <w:t>（三）发挥纪委职能，当好拒腐防变“守夜人”</w:t>
      </w:r>
    </w:p>
    <w:p>
      <w:pPr>
        <w:keepNext w:val="0"/>
        <w:keepLines w:val="0"/>
        <w:pageBreakBefore w:val="0"/>
        <w:kinsoku/>
        <w:wordWrap/>
        <w:overflowPunct/>
        <w:topLinePunct w:val="0"/>
        <w:autoSpaceDE/>
        <w:bidi w:val="0"/>
        <w:spacing w:after="200" w:line="520" w:lineRule="exact"/>
        <w:ind w:firstLine="642"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color w:val="auto"/>
          <w:kern w:val="0"/>
          <w:sz w:val="32"/>
          <w:szCs w:val="32"/>
          <w:highlight w:val="none"/>
        </w:rPr>
        <w:t>1.始终坚持各项监督协同发力。一是聚焦重点任务。</w:t>
      </w:r>
      <w:r>
        <w:rPr>
          <w:rFonts w:hint="eastAsia" w:ascii="仿宋_GB2312" w:hAnsi="仿宋_GB2312" w:eastAsia="仿宋_GB2312" w:cs="仿宋_GB2312"/>
          <w:bCs/>
          <w:color w:val="auto"/>
          <w:kern w:val="0"/>
          <w:sz w:val="32"/>
          <w:szCs w:val="32"/>
          <w:highlight w:val="none"/>
        </w:rPr>
        <w:t>运用监督清单，围绕联社党委落实上级决策部署开展监督</w:t>
      </w:r>
      <w:r>
        <w:rPr>
          <w:rFonts w:hint="eastAsia" w:ascii="仿宋_GB2312" w:hAnsi="仿宋_GB2312" w:eastAsia="仿宋_GB2312" w:cs="仿宋_GB2312"/>
          <w:color w:val="auto"/>
          <w:kern w:val="0"/>
          <w:sz w:val="32"/>
          <w:szCs w:val="32"/>
          <w:highlight w:val="none"/>
          <w:lang w:bidi="ar"/>
        </w:rPr>
        <w:t>。比如</w:t>
      </w:r>
      <w:r>
        <w:rPr>
          <w:rFonts w:hint="eastAsia" w:ascii="仿宋_GB2312" w:hAnsi="仿宋_GB2312" w:eastAsia="仿宋_GB2312" w:cs="仿宋_GB2312"/>
          <w:color w:val="auto"/>
          <w:kern w:val="0"/>
          <w:sz w:val="32"/>
          <w:szCs w:val="32"/>
          <w:highlight w:val="none"/>
        </w:rPr>
        <w:t>在督促联社党委传达贯彻习近平总书记在福建考察时的重要讲话精神上，督促研究提出贯彻落实举措6条。</w:t>
      </w:r>
      <w:r>
        <w:rPr>
          <w:rFonts w:hint="eastAsia" w:ascii="仿宋_GB2312" w:hAnsi="仿宋_GB2312" w:eastAsia="仿宋_GB2312" w:cs="仿宋_GB2312"/>
          <w:b/>
          <w:color w:val="auto"/>
          <w:spacing w:val="8"/>
          <w:kern w:val="0"/>
          <w:sz w:val="32"/>
          <w:szCs w:val="32"/>
          <w:highlight w:val="none"/>
        </w:rPr>
        <w:t>二是聚焦</w:t>
      </w:r>
      <w:r>
        <w:rPr>
          <w:rFonts w:hint="eastAsia" w:ascii="仿宋_GB2312" w:hAnsi="仿宋_GB2312" w:eastAsia="仿宋_GB2312" w:cs="仿宋_GB2312"/>
          <w:b/>
          <w:color w:val="auto"/>
          <w:kern w:val="0"/>
          <w:sz w:val="32"/>
          <w:szCs w:val="32"/>
          <w:highlight w:val="none"/>
        </w:rPr>
        <w:t>“1+X”监督落实。</w:t>
      </w:r>
      <w:r>
        <w:rPr>
          <w:rFonts w:hint="eastAsia" w:ascii="仿宋_GB2312" w:hAnsi="仿宋_GB2312" w:eastAsia="仿宋_GB2312" w:cs="仿宋_GB2312"/>
          <w:color w:val="auto"/>
          <w:kern w:val="0"/>
          <w:sz w:val="32"/>
          <w:szCs w:val="32"/>
          <w:highlight w:val="none"/>
        </w:rPr>
        <w:t>加强与职能部门在信用风险防控、员工行为等方面的监督力度。比如联合合规、审计等部门开展员工异常行为“1+X”监督，共发现问题16条，问责86人次，其中党纪政务处分3人次，“第一种形态”处理2人次，经济处罚2.1万元。</w:t>
      </w:r>
      <w:r>
        <w:rPr>
          <w:rFonts w:hint="eastAsia" w:ascii="仿宋_GB2312" w:hAnsi="仿宋_GB2312" w:eastAsia="仿宋_GB2312" w:cs="仿宋_GB2312"/>
          <w:b/>
          <w:bCs/>
          <w:color w:val="auto"/>
          <w:kern w:val="0"/>
          <w:sz w:val="32"/>
          <w:szCs w:val="32"/>
          <w:highlight w:val="none"/>
        </w:rPr>
        <w:t>三是聚焦关键人和事监督。</w:t>
      </w:r>
      <w:r>
        <w:rPr>
          <w:rFonts w:hint="eastAsia" w:ascii="仿宋_GB2312" w:hAnsi="仿宋_GB2312" w:eastAsia="仿宋_GB2312" w:cs="仿宋_GB2312"/>
          <w:color w:val="auto"/>
          <w:kern w:val="0"/>
          <w:sz w:val="32"/>
          <w:szCs w:val="32"/>
          <w:highlight w:val="none"/>
          <w:lang w:bidi="ar"/>
        </w:rPr>
        <w:t>切实加强对“一把手”和党委班子权力运行情况的监督，</w:t>
      </w:r>
      <w:r>
        <w:rPr>
          <w:rFonts w:hint="eastAsia" w:ascii="仿宋_GB2312" w:hAnsi="仿宋_GB2312" w:eastAsia="仿宋_GB2312" w:cs="仿宋_GB2312"/>
          <w:color w:val="auto"/>
          <w:kern w:val="0"/>
          <w:sz w:val="32"/>
          <w:szCs w:val="32"/>
          <w:highlight w:val="none"/>
        </w:rPr>
        <w:t>紧盯贷款发放、不良资产处置、大额采购招投标和“三重一大”事项等</w:t>
      </w:r>
      <w:r>
        <w:rPr>
          <w:rFonts w:hint="eastAsia" w:ascii="仿宋_GB2312" w:hAnsi="仿宋_GB2312" w:eastAsia="仿宋_GB2312" w:cs="仿宋_GB2312"/>
          <w:color w:val="auto"/>
          <w:kern w:val="0"/>
          <w:sz w:val="32"/>
          <w:szCs w:val="32"/>
          <w:highlight w:val="none"/>
          <w:lang w:bidi="ar"/>
        </w:rPr>
        <w:t>，及时下发各类提示书单8份</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color w:val="auto"/>
          <w:kern w:val="0"/>
          <w:sz w:val="32"/>
          <w:szCs w:val="32"/>
          <w:highlight w:val="none"/>
        </w:rPr>
        <w:t>四是聚焦专项问题集中整治监督。</w:t>
      </w:r>
      <w:r>
        <w:rPr>
          <w:rFonts w:hint="eastAsia" w:ascii="仿宋_GB2312" w:hAnsi="仿宋_GB2312" w:eastAsia="仿宋_GB2312" w:cs="仿宋_GB2312"/>
          <w:color w:val="auto"/>
          <w:kern w:val="0"/>
          <w:sz w:val="32"/>
          <w:szCs w:val="32"/>
          <w:highlight w:val="none"/>
        </w:rPr>
        <w:t>开展破除“靠金融吃金融”潜规则“打深井”式专项监督和群众身边的不正之风和腐败问题集中整治监督，共发现问题4个，督促整改4个，修订完善制度1份，问责3人次，收回违规贷款本金9.93万元。</w:t>
      </w:r>
      <w:r>
        <w:rPr>
          <w:rFonts w:hint="eastAsia" w:ascii="仿宋_GB2312" w:hAnsi="仿宋_GB2312" w:eastAsia="仿宋_GB2312" w:cs="仿宋_GB2312"/>
          <w:b/>
          <w:color w:val="auto"/>
          <w:kern w:val="0"/>
          <w:sz w:val="32"/>
          <w:szCs w:val="32"/>
          <w:highlight w:val="none"/>
        </w:rPr>
        <w:t>五是聚焦基层监督建设。</w:t>
      </w:r>
      <w:r>
        <w:rPr>
          <w:rFonts w:hint="eastAsia" w:ascii="仿宋_GB2312" w:hAnsi="仿宋_GB2312" w:eastAsia="仿宋_GB2312" w:cs="仿宋_GB2312"/>
          <w:color w:val="auto"/>
          <w:kern w:val="0"/>
          <w:sz w:val="32"/>
          <w:szCs w:val="32"/>
          <w:highlight w:val="none"/>
        </w:rPr>
        <w:t>根据做好监督覆盖“最后一公里”要求，印发《连城联社基层网点监督管理暂行办法》，从制度建设出发，进一步激发基层监督活力。</w:t>
      </w:r>
    </w:p>
    <w:p>
      <w:pPr>
        <w:keepNext w:val="0"/>
        <w:keepLines w:val="0"/>
        <w:pageBreakBefore w:val="0"/>
        <w:widowControl/>
        <w:kinsoku/>
        <w:wordWrap/>
        <w:overflowPunct/>
        <w:topLinePunct w:val="0"/>
        <w:autoSpaceDE/>
        <w:bidi w:val="0"/>
        <w:adjustRightInd w:val="0"/>
        <w:snapToGrid w:val="0"/>
        <w:spacing w:after="200" w:line="520" w:lineRule="exact"/>
        <w:ind w:firstLine="642"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color w:val="auto"/>
          <w:kern w:val="0"/>
          <w:sz w:val="32"/>
          <w:szCs w:val="32"/>
          <w:highlight w:val="none"/>
          <w:lang w:bidi="ar"/>
        </w:rPr>
        <w:t>2.始终把作风建设责任抓实。一是监督提醒在一线。</w:t>
      </w:r>
      <w:r>
        <w:rPr>
          <w:rFonts w:hint="eastAsia" w:ascii="仿宋_GB2312" w:hAnsi="仿宋_GB2312" w:eastAsia="仿宋_GB2312" w:cs="仿宋_GB2312"/>
          <w:color w:val="auto"/>
          <w:kern w:val="0"/>
          <w:sz w:val="32"/>
          <w:szCs w:val="32"/>
          <w:highlight w:val="none"/>
        </w:rPr>
        <w:t>深入开展四访”活动，全年</w:t>
      </w:r>
      <w:r>
        <w:rPr>
          <w:rFonts w:hint="eastAsia" w:ascii="仿宋_GB2312" w:hAnsi="仿宋_GB2312" w:eastAsia="仿宋_GB2312" w:cs="仿宋_GB2312"/>
          <w:bCs/>
          <w:color w:val="auto"/>
          <w:kern w:val="0"/>
          <w:sz w:val="32"/>
          <w:szCs w:val="32"/>
          <w:highlight w:val="none"/>
        </w:rPr>
        <w:t>共计开门接访12次，全员接访12次，</w:t>
      </w:r>
      <w:r>
        <w:rPr>
          <w:rFonts w:hint="eastAsia" w:ascii="仿宋_GB2312" w:hAnsi="仿宋_GB2312" w:eastAsia="仿宋_GB2312" w:cs="仿宋_GB2312"/>
          <w:color w:val="auto"/>
          <w:kern w:val="0"/>
          <w:sz w:val="32"/>
          <w:szCs w:val="32"/>
          <w:highlight w:val="none"/>
        </w:rPr>
        <w:t>先后与17个乡镇的154名客户，19个网点的78名员工交流谈话，</w:t>
      </w:r>
      <w:r>
        <w:rPr>
          <w:rFonts w:hint="eastAsia" w:ascii="仿宋_GB2312" w:hAnsi="仿宋_GB2312" w:eastAsia="仿宋_GB2312" w:cs="仿宋_GB2312"/>
          <w:bCs/>
          <w:color w:val="auto"/>
          <w:spacing w:val="8"/>
          <w:kern w:val="0"/>
          <w:sz w:val="32"/>
          <w:szCs w:val="32"/>
          <w:highlight w:val="none"/>
        </w:rPr>
        <w:t>下发纪委“四访”工作收集意见、建议及发现问题督办单37份，发现问题16条，</w:t>
      </w:r>
      <w:r>
        <w:rPr>
          <w:rFonts w:hint="eastAsia" w:ascii="仿宋_GB2312" w:hAnsi="仿宋_GB2312" w:eastAsia="仿宋_GB2312" w:cs="仿宋_GB2312"/>
          <w:color w:val="auto"/>
          <w:kern w:val="0"/>
          <w:sz w:val="32"/>
          <w:szCs w:val="32"/>
          <w:highlight w:val="none"/>
        </w:rPr>
        <w:t>整改16条</w:t>
      </w:r>
      <w:r>
        <w:rPr>
          <w:rFonts w:hint="eastAsia" w:ascii="仿宋_GB2312" w:hAnsi="仿宋_GB2312" w:eastAsia="仿宋_GB2312" w:cs="仿宋_GB2312"/>
          <w:bCs/>
          <w:color w:val="auto"/>
          <w:spacing w:val="8"/>
          <w:kern w:val="0"/>
          <w:sz w:val="32"/>
          <w:szCs w:val="32"/>
          <w:highlight w:val="none"/>
        </w:rPr>
        <w:t>，收到意见建议21条，采纳意见建议18条，制定和完善文件制度5份。</w:t>
      </w:r>
      <w:r>
        <w:rPr>
          <w:rFonts w:hint="eastAsia" w:ascii="仿宋_GB2312" w:hAnsi="仿宋_GB2312" w:eastAsia="仿宋_GB2312" w:cs="仿宋_GB2312"/>
          <w:b/>
          <w:color w:val="auto"/>
          <w:spacing w:val="8"/>
          <w:kern w:val="0"/>
          <w:sz w:val="32"/>
          <w:szCs w:val="32"/>
          <w:highlight w:val="none"/>
        </w:rPr>
        <w:t>二是锲而不舍纠“四风”树新风。</w:t>
      </w:r>
      <w:r>
        <w:rPr>
          <w:rFonts w:hint="eastAsia" w:ascii="仿宋_GB2312" w:hAnsi="仿宋_GB2312" w:eastAsia="仿宋_GB2312" w:cs="仿宋_GB2312"/>
          <w:bCs/>
          <w:color w:val="auto"/>
          <w:spacing w:val="8"/>
          <w:kern w:val="0"/>
          <w:sz w:val="32"/>
          <w:szCs w:val="32"/>
          <w:highlight w:val="none"/>
        </w:rPr>
        <w:t>全年在重要节假日组织开展明察暗访3次，发现并督促整改问题6个。</w:t>
      </w:r>
      <w:r>
        <w:rPr>
          <w:rFonts w:hint="eastAsia" w:ascii="仿宋_GB2312" w:hAnsi="仿宋_GB2312" w:eastAsia="仿宋_GB2312" w:cs="仿宋_GB2312"/>
          <w:b/>
          <w:color w:val="auto"/>
          <w:spacing w:val="8"/>
          <w:kern w:val="0"/>
          <w:sz w:val="32"/>
          <w:szCs w:val="32"/>
          <w:highlight w:val="none"/>
        </w:rPr>
        <w:t>三是强化警示教育</w:t>
      </w:r>
      <w:r>
        <w:rPr>
          <w:rFonts w:hint="eastAsia" w:ascii="仿宋_GB2312" w:hAnsi="黑体" w:eastAsia="仿宋_GB2312" w:cs="宋体"/>
          <w:b/>
          <w:bCs/>
          <w:color w:val="auto"/>
          <w:kern w:val="0"/>
          <w:sz w:val="32"/>
          <w:szCs w:val="32"/>
          <w:highlight w:val="none"/>
        </w:rPr>
        <w:t>，推进“五廉”工程建设。</w:t>
      </w:r>
      <w:r>
        <w:rPr>
          <w:rFonts w:hint="eastAsia" w:ascii="仿宋_GB2312" w:hAnsi="Tahoma" w:eastAsia="仿宋_GB2312" w:cs="Times New Roman"/>
          <w:b/>
          <w:bCs/>
          <w:color w:val="auto"/>
          <w:kern w:val="0"/>
          <w:sz w:val="32"/>
          <w:szCs w:val="32"/>
          <w:highlight w:val="none"/>
        </w:rPr>
        <w:t>①加强廉洁教育。</w:t>
      </w:r>
      <w:r>
        <w:rPr>
          <w:rFonts w:hint="eastAsia" w:ascii="仿宋_GB2312" w:hAnsi="Tahoma" w:eastAsia="仿宋_GB2312" w:cs="Times New Roman"/>
          <w:color w:val="auto"/>
          <w:kern w:val="0"/>
          <w:sz w:val="32"/>
          <w:szCs w:val="32"/>
          <w:highlight w:val="none"/>
        </w:rPr>
        <w:t>召开警示教育大会，通报剖析典型案例，</w:t>
      </w:r>
      <w:r>
        <w:rPr>
          <w:rFonts w:hint="eastAsia" w:ascii="仿宋_GB2312" w:hAnsi="宋体" w:eastAsia="仿宋_GB2312" w:cs="Times New Roman"/>
          <w:color w:val="auto"/>
          <w:kern w:val="0"/>
          <w:sz w:val="32"/>
          <w:szCs w:val="32"/>
          <w:highlight w:val="none"/>
        </w:rPr>
        <w:t>集中观看警示教育片</w:t>
      </w:r>
      <w:r>
        <w:rPr>
          <w:rFonts w:hint="eastAsia" w:ascii="仿宋_GB2312" w:hAnsi="Tahoma" w:eastAsia="仿宋_GB2312" w:cs="Times New Roman"/>
          <w:color w:val="auto"/>
          <w:kern w:val="0"/>
          <w:sz w:val="32"/>
          <w:szCs w:val="32"/>
          <w:highlight w:val="none"/>
        </w:rPr>
        <w:t>；</w:t>
      </w:r>
      <w:r>
        <w:rPr>
          <w:rFonts w:hint="eastAsia" w:ascii="仿宋_GB2312" w:hAnsi="仿宋" w:eastAsia="仿宋_GB2312" w:cs="Times New Roman"/>
          <w:color w:val="auto"/>
          <w:kern w:val="0"/>
          <w:sz w:val="32"/>
          <w:szCs w:val="32"/>
          <w:highlight w:val="none"/>
        </w:rPr>
        <w:t>组织</w:t>
      </w:r>
      <w:r>
        <w:rPr>
          <w:rFonts w:hint="eastAsia" w:ascii="仿宋_GB2312" w:hAnsi="仿宋_GB2312" w:eastAsia="仿宋_GB2312" w:cs="仿宋_GB2312"/>
          <w:color w:val="auto"/>
          <w:kern w:val="0"/>
          <w:sz w:val="32"/>
          <w:szCs w:val="32"/>
          <w:highlight w:val="none"/>
        </w:rPr>
        <w:t>参观杨成武将军纪念馆等廉政教育基地</w:t>
      </w:r>
      <w:r>
        <w:rPr>
          <w:rFonts w:hint="eastAsia" w:ascii="仿宋_GB2312" w:hAnsi="Tahoma" w:eastAsia="仿宋_GB2312" w:cs="Times New Roman"/>
          <w:color w:val="auto"/>
          <w:kern w:val="0"/>
          <w:sz w:val="32"/>
          <w:szCs w:val="32"/>
          <w:highlight w:val="none"/>
        </w:rPr>
        <w:t>，增强廉洁自律意识。</w:t>
      </w:r>
      <w:r>
        <w:rPr>
          <w:rFonts w:hint="eastAsia" w:ascii="仿宋_GB2312" w:hAnsi="Tahoma" w:eastAsia="仿宋_GB2312" w:cs="Times New Roman"/>
          <w:b/>
          <w:bCs/>
          <w:color w:val="auto"/>
          <w:kern w:val="0"/>
          <w:sz w:val="32"/>
          <w:szCs w:val="32"/>
          <w:highlight w:val="none"/>
        </w:rPr>
        <w:t>②加大廉洁文化宣传。</w:t>
      </w:r>
      <w:r>
        <w:rPr>
          <w:rFonts w:hint="eastAsia" w:ascii="仿宋_GB2312" w:hAnsi="Tahoma" w:eastAsia="仿宋_GB2312" w:cs="Times New Roman"/>
          <w:color w:val="auto"/>
          <w:kern w:val="0"/>
          <w:sz w:val="32"/>
          <w:szCs w:val="32"/>
          <w:highlight w:val="none"/>
        </w:rPr>
        <w:t>创建“</w:t>
      </w:r>
      <w:r>
        <w:rPr>
          <w:rFonts w:hint="eastAsia" w:ascii="仿宋_GB2312" w:hAnsi="仿宋_GB2312" w:eastAsia="仿宋_GB2312" w:cs="仿宋_GB2312"/>
          <w:color w:val="auto"/>
          <w:kern w:val="0"/>
          <w:sz w:val="32"/>
          <w:szCs w:val="32"/>
          <w:highlight w:val="none"/>
        </w:rPr>
        <w:t>廉连农信 涵养清风</w:t>
      </w:r>
      <w:r>
        <w:rPr>
          <w:rFonts w:hint="eastAsia" w:ascii="仿宋_GB2312" w:hAnsi="Tahoma" w:eastAsia="仿宋_GB2312" w:cs="Times New Roman"/>
          <w:color w:val="auto"/>
          <w:kern w:val="0"/>
          <w:sz w:val="32"/>
          <w:szCs w:val="32"/>
          <w:highlight w:val="none"/>
        </w:rPr>
        <w:t>”清廉金融文化品牌；</w:t>
      </w:r>
      <w:r>
        <w:rPr>
          <w:rFonts w:hint="eastAsia" w:ascii="仿宋_GB2312" w:hAnsi="仿宋_GB2312" w:eastAsia="仿宋_GB2312" w:cs="仿宋_GB2312"/>
          <w:color w:val="auto"/>
          <w:kern w:val="0"/>
          <w:sz w:val="32"/>
          <w:szCs w:val="32"/>
          <w:highlight w:val="none"/>
        </w:rPr>
        <w:t>结合优秀传统文化、积极开展以“匾联铭家训 诗礼传家风”为主题的清廉家风宣传教育活动</w:t>
      </w:r>
      <w:r>
        <w:rPr>
          <w:rFonts w:hint="eastAsia" w:ascii="仿宋_GB2312" w:hAnsi="Tahoma" w:eastAsia="仿宋_GB2312" w:cs="Times New Roman"/>
          <w:color w:val="auto"/>
          <w:kern w:val="0"/>
          <w:sz w:val="32"/>
          <w:szCs w:val="32"/>
          <w:highlight w:val="none"/>
        </w:rPr>
        <w:t>。</w:t>
      </w:r>
      <w:r>
        <w:rPr>
          <w:rFonts w:hint="eastAsia" w:ascii="仿宋_GB2312" w:hAnsi="仿宋_GB2312" w:eastAsia="仿宋_GB2312" w:cs="仿宋_GB2312"/>
          <w:b/>
          <w:bCs/>
          <w:color w:val="auto"/>
          <w:kern w:val="0"/>
          <w:sz w:val="32"/>
          <w:szCs w:val="32"/>
          <w:highlight w:val="none"/>
        </w:rPr>
        <w:t>③打造育廉阵地。</w:t>
      </w:r>
      <w:r>
        <w:rPr>
          <w:rFonts w:hint="eastAsia" w:ascii="仿宋_GB2312" w:hAnsi="仿宋_GB2312" w:eastAsia="仿宋_GB2312" w:cs="仿宋_GB2312"/>
          <w:color w:val="auto"/>
          <w:kern w:val="0"/>
          <w:sz w:val="32"/>
          <w:szCs w:val="32"/>
          <w:highlight w:val="none"/>
        </w:rPr>
        <w:t>加大廉洁文化景观建设力度，选择一批网点，打造具有特色的廉洁文化示范长廊；打造廉洁办公区域，进一步提醒员工廉洁自律。</w:t>
      </w:r>
    </w:p>
    <w:p>
      <w:pPr>
        <w:keepNext w:val="0"/>
        <w:keepLines w:val="0"/>
        <w:pageBreakBefore w:val="0"/>
        <w:kinsoku/>
        <w:wordWrap/>
        <w:overflowPunct/>
        <w:topLinePunct w:val="0"/>
        <w:autoSpaceDE/>
        <w:bidi w:val="0"/>
        <w:spacing w:line="520" w:lineRule="exact"/>
        <w:ind w:firstLine="642" w:firstLineChars="200"/>
        <w:rPr>
          <w:rFonts w:ascii="仿宋_GB2312" w:eastAsia="仿宋_GB2312"/>
          <w:color w:val="auto"/>
          <w:sz w:val="32"/>
          <w:szCs w:val="32"/>
          <w:highlight w:val="none"/>
        </w:rPr>
      </w:pPr>
      <w:r>
        <w:rPr>
          <w:rFonts w:hint="eastAsia" w:ascii="仿宋_GB2312" w:hAnsi="仿宋_GB2312" w:eastAsia="仿宋_GB2312" w:cs="仿宋_GB2312"/>
          <w:b/>
          <w:bCs/>
          <w:color w:val="auto"/>
          <w:kern w:val="0"/>
          <w:sz w:val="32"/>
          <w:szCs w:val="32"/>
          <w:highlight w:val="none"/>
        </w:rPr>
        <w:t>3.始终严字当头执纪问责。</w:t>
      </w:r>
      <w:r>
        <w:rPr>
          <w:rFonts w:hint="eastAsia" w:ascii="仿宋_GB2312" w:hAnsi="仿宋_GB2312" w:eastAsia="仿宋_GB2312" w:cs="仿宋_GB2312"/>
          <w:bCs/>
          <w:color w:val="auto"/>
          <w:kern w:val="0"/>
          <w:sz w:val="32"/>
          <w:szCs w:val="32"/>
          <w:highlight w:val="none"/>
          <w:lang w:bidi="ar"/>
        </w:rPr>
        <w:t>运用好监督执纪“四种形态”，2024年共运用“第一种形态”警示谈话、提醒谈话处理4人次，运用“第二种形态”党纪警告处分2人次，督促联社问责委员会问责1人次，其中警告1人次。</w:t>
      </w:r>
    </w:p>
    <w:p>
      <w:pPr>
        <w:keepNext w:val="0"/>
        <w:keepLines w:val="0"/>
        <w:pageBreakBefore w:val="0"/>
        <w:kinsoku/>
        <w:wordWrap/>
        <w:overflowPunct/>
        <w:topLinePunct w:val="0"/>
        <w:autoSpaceDE/>
        <w:bidi w:val="0"/>
        <w:spacing w:line="52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二、存在的问题和不足</w:t>
      </w:r>
    </w:p>
    <w:p>
      <w:pPr>
        <w:keepNext w:val="0"/>
        <w:keepLines w:val="0"/>
        <w:pageBreakBefore w:val="0"/>
        <w:kinsoku/>
        <w:wordWrap/>
        <w:overflowPunct/>
        <w:topLinePunct w:val="0"/>
        <w:autoSpaceDE/>
        <w:bidi w:val="0"/>
        <w:spacing w:line="520" w:lineRule="exact"/>
        <w:ind w:firstLine="640" w:firstLineChars="200"/>
        <w:jc w:val="left"/>
        <w:rPr>
          <w:rFonts w:ascii="仿宋_GB2312" w:hAnsi="仿宋" w:eastAsia="仿宋_GB2312"/>
          <w:color w:val="auto"/>
          <w:sz w:val="32"/>
          <w:szCs w:val="32"/>
          <w:highlight w:val="none"/>
        </w:rPr>
      </w:pPr>
      <w:r>
        <w:rPr>
          <w:rFonts w:hint="eastAsia" w:ascii="仿宋_GB2312" w:hAnsi="仿宋_GB2312" w:eastAsia="仿宋_GB2312" w:cs="仿宋_GB2312"/>
          <w:color w:val="auto"/>
          <w:kern w:val="0"/>
          <w:sz w:val="32"/>
          <w:szCs w:val="32"/>
          <w:highlight w:val="none"/>
        </w:rPr>
        <w:t>2024年，监事会监督水平和监督质效在不断探索和实践中得到了提高，但还存在一些不足：</w:t>
      </w:r>
      <w:r>
        <w:rPr>
          <w:rFonts w:hint="eastAsia" w:ascii="仿宋_GB2312" w:hAnsi="仿宋_GB2312" w:eastAsia="仿宋_GB2312" w:cs="仿宋_GB2312"/>
          <w:b/>
          <w:bCs/>
          <w:color w:val="auto"/>
          <w:sz w:val="32"/>
          <w:szCs w:val="32"/>
          <w:highlight w:val="none"/>
        </w:rPr>
        <w:t>监督能力还需增强。</w:t>
      </w:r>
      <w:r>
        <w:rPr>
          <w:rFonts w:hint="eastAsia" w:ascii="仿宋_GB2312" w:hAnsi="仿宋_GB2312" w:eastAsia="仿宋_GB2312" w:cs="仿宋_GB2312"/>
          <w:color w:val="auto"/>
          <w:sz w:val="32"/>
          <w:szCs w:val="32"/>
          <w:highlight w:val="none"/>
        </w:rPr>
        <w:t>主要体现在</w:t>
      </w:r>
      <w:r>
        <w:rPr>
          <w:rFonts w:hint="eastAsia" w:ascii="仿宋_GB2312" w:hAnsi="仿宋_GB2312" w:eastAsia="仿宋_GB2312" w:cs="仿宋_GB2312"/>
          <w:color w:val="auto"/>
          <w:kern w:val="0"/>
          <w:sz w:val="32"/>
          <w:szCs w:val="32"/>
          <w:highlight w:val="none"/>
          <w:lang w:bidi="ar"/>
        </w:rPr>
        <w:t>在监督落实上级决策部署方面还需进一步强化，在定期跟踪乡村振兴等相关重要指标监督上还需加强。</w:t>
      </w:r>
      <w:r>
        <w:rPr>
          <w:rFonts w:hint="eastAsia" w:ascii="仿宋_GB2312" w:hAnsi="仿宋_GB2312" w:eastAsia="仿宋_GB2312" w:cs="仿宋_GB2312"/>
          <w:b/>
          <w:bCs/>
          <w:color w:val="auto"/>
          <w:kern w:val="0"/>
          <w:sz w:val="32"/>
          <w:szCs w:val="32"/>
          <w:highlight w:val="none"/>
        </w:rPr>
        <w:t>监督成效还需提高。</w:t>
      </w:r>
      <w:r>
        <w:rPr>
          <w:rFonts w:hint="eastAsia" w:ascii="仿宋_GB2312" w:hAnsi="仿宋_GB2312" w:eastAsia="仿宋_GB2312" w:cs="仿宋_GB2312"/>
          <w:color w:val="auto"/>
          <w:sz w:val="32"/>
          <w:szCs w:val="32"/>
          <w:highlight w:val="none"/>
        </w:rPr>
        <w:t>主要体现在压力传导还需进一步压实，在帮助员工做到“防范于未然”还存在差距。</w:t>
      </w:r>
    </w:p>
    <w:p>
      <w:pPr>
        <w:keepNext w:val="0"/>
        <w:keepLines w:val="0"/>
        <w:pageBreakBefore w:val="0"/>
        <w:kinsoku/>
        <w:wordWrap/>
        <w:overflowPunct/>
        <w:topLinePunct w:val="0"/>
        <w:autoSpaceDE/>
        <w:bidi w:val="0"/>
        <w:spacing w:line="520" w:lineRule="exact"/>
        <w:ind w:firstLine="640" w:firstLineChars="200"/>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三、下一步工作计划</w:t>
      </w:r>
    </w:p>
    <w:p>
      <w:pPr>
        <w:keepNext w:val="0"/>
        <w:keepLines w:val="0"/>
        <w:pageBreakBefore w:val="0"/>
        <w:widowControl/>
        <w:kinsoku/>
        <w:wordWrap/>
        <w:overflowPunct/>
        <w:topLinePunct w:val="0"/>
        <w:autoSpaceDE/>
        <w:bidi w:val="0"/>
        <w:adjustRightInd w:val="0"/>
        <w:snapToGrid w:val="0"/>
        <w:spacing w:after="200" w:line="520" w:lineRule="exact"/>
        <w:ind w:firstLine="642" w:firstLineChars="200"/>
        <w:rPr>
          <w:rFonts w:hint="eastAsia" w:ascii="仿宋_GB2312" w:hAnsi="仿宋_GB2312" w:eastAsia="仿宋_GB2312" w:cs="仿宋_GB2312"/>
          <w:color w:val="auto"/>
          <w:kern w:val="0"/>
          <w:sz w:val="32"/>
          <w:szCs w:val="32"/>
          <w:highlight w:val="none"/>
        </w:rPr>
      </w:pPr>
      <w:r>
        <w:rPr>
          <w:rFonts w:hint="eastAsia" w:ascii="楷体_GB2312" w:hAnsi="楷体" w:eastAsia="楷体_GB2312" w:cs="楷体"/>
          <w:b/>
          <w:bCs/>
          <w:color w:val="auto"/>
          <w:sz w:val="32"/>
          <w:szCs w:val="32"/>
          <w:highlight w:val="none"/>
        </w:rPr>
        <w:t>（一）严抓日常监督不放松。</w:t>
      </w:r>
      <w:r>
        <w:rPr>
          <w:rFonts w:hint="eastAsia" w:ascii="仿宋_GB2312" w:hAnsi="仿宋_GB2312" w:eastAsia="仿宋_GB2312" w:cs="仿宋_GB2312"/>
          <w:b/>
          <w:bCs/>
          <w:color w:val="auto"/>
          <w:kern w:val="0"/>
          <w:sz w:val="32"/>
          <w:szCs w:val="32"/>
          <w:highlight w:val="none"/>
        </w:rPr>
        <w:t>一是</w:t>
      </w:r>
      <w:r>
        <w:rPr>
          <w:rFonts w:hint="eastAsia" w:ascii="仿宋_GB2312" w:hAnsi="仿宋_GB2312" w:eastAsia="仿宋_GB2312" w:cs="仿宋_GB2312"/>
          <w:color w:val="auto"/>
          <w:kern w:val="0"/>
          <w:sz w:val="32"/>
          <w:szCs w:val="32"/>
          <w:highlight w:val="none"/>
        </w:rPr>
        <w:t>积极列席会议。通过列席理事会、贷审会、社务会等会议，全面了解经营发展情况，加强联社党委和理事会重大决策在日常经营管理过程中落实情况的监督检查，提高部门、网点履职效能，确保各项决议、决策得到有效贯彻执行。</w:t>
      </w:r>
      <w:r>
        <w:rPr>
          <w:rFonts w:hint="eastAsia" w:ascii="仿宋_GB2312" w:hAnsi="仿宋_GB2312" w:eastAsia="仿宋_GB2312" w:cs="仿宋_GB2312"/>
          <w:b/>
          <w:bCs/>
          <w:color w:val="auto"/>
          <w:kern w:val="0"/>
          <w:sz w:val="32"/>
          <w:szCs w:val="32"/>
          <w:highlight w:val="none"/>
        </w:rPr>
        <w:t>二是</w:t>
      </w:r>
      <w:r>
        <w:rPr>
          <w:rFonts w:hint="eastAsia" w:ascii="仿宋_GB2312" w:hAnsi="仿宋_GB2312" w:eastAsia="仿宋_GB2312" w:cs="仿宋_GB2312"/>
          <w:color w:val="auto"/>
          <w:kern w:val="0"/>
          <w:sz w:val="32"/>
          <w:szCs w:val="32"/>
          <w:highlight w:val="none"/>
        </w:rPr>
        <w:t>加大监督检查力度。根据《202</w:t>
      </w:r>
      <w:r>
        <w:rPr>
          <w:rFonts w:ascii="仿宋_GB2312" w:hAnsi="仿宋_GB2312" w:eastAsia="仿宋_GB2312" w:cs="仿宋_GB2312"/>
          <w:color w:val="auto"/>
          <w:kern w:val="0"/>
          <w:sz w:val="32"/>
          <w:szCs w:val="32"/>
          <w:highlight w:val="none"/>
        </w:rPr>
        <w:t>5</w:t>
      </w:r>
      <w:r>
        <w:rPr>
          <w:rFonts w:hint="eastAsia" w:ascii="仿宋_GB2312" w:hAnsi="仿宋_GB2312" w:eastAsia="仿宋_GB2312" w:cs="仿宋_GB2312"/>
          <w:color w:val="auto"/>
          <w:kern w:val="0"/>
          <w:sz w:val="32"/>
          <w:szCs w:val="32"/>
          <w:highlight w:val="none"/>
        </w:rPr>
        <w:t>年审计工作计划》有序地开展</w:t>
      </w:r>
      <w:r>
        <w:rPr>
          <w:rFonts w:ascii="仿宋_GB2312" w:hAnsi="仿宋_GB2312" w:eastAsia="仿宋_GB2312" w:cs="仿宋_GB2312"/>
          <w:color w:val="auto"/>
          <w:kern w:val="0"/>
          <w:sz w:val="32"/>
          <w:szCs w:val="32"/>
          <w:highlight w:val="none"/>
        </w:rPr>
        <w:t>授信业务风险专项审计</w:t>
      </w:r>
      <w:r>
        <w:rPr>
          <w:rFonts w:hint="eastAsia" w:ascii="仿宋_GB2312" w:hAnsi="仿宋_GB2312" w:eastAsia="仿宋_GB2312" w:cs="仿宋_GB2312"/>
          <w:color w:val="auto"/>
          <w:kern w:val="0"/>
          <w:sz w:val="32"/>
          <w:szCs w:val="32"/>
          <w:highlight w:val="none"/>
        </w:rPr>
        <w:t>、</w:t>
      </w:r>
      <w:r>
        <w:rPr>
          <w:rFonts w:ascii="仿宋_GB2312" w:hAnsi="仿宋_GB2312" w:eastAsia="仿宋_GB2312" w:cs="仿宋_GB2312"/>
          <w:color w:val="auto"/>
          <w:kern w:val="0"/>
          <w:sz w:val="32"/>
          <w:szCs w:val="32"/>
          <w:highlight w:val="none"/>
        </w:rPr>
        <w:t>核销贷款专项审计</w:t>
      </w:r>
      <w:r>
        <w:rPr>
          <w:rFonts w:hint="eastAsia" w:ascii="仿宋_GB2312" w:hAnsi="仿宋_GB2312" w:eastAsia="仿宋_GB2312" w:cs="仿宋_GB2312"/>
          <w:color w:val="auto"/>
          <w:kern w:val="0"/>
          <w:sz w:val="32"/>
          <w:szCs w:val="32"/>
          <w:highlight w:val="none"/>
        </w:rPr>
        <w:t>、</w:t>
      </w:r>
      <w:r>
        <w:rPr>
          <w:rFonts w:ascii="仿宋_GB2312" w:hAnsi="仿宋_GB2312" w:eastAsia="仿宋_GB2312" w:cs="仿宋_GB2312"/>
          <w:color w:val="auto"/>
          <w:kern w:val="0"/>
          <w:sz w:val="32"/>
          <w:szCs w:val="32"/>
          <w:highlight w:val="none"/>
        </w:rPr>
        <w:t>抵质押品管理专项审计</w:t>
      </w:r>
      <w:r>
        <w:rPr>
          <w:rFonts w:hint="eastAsia" w:ascii="仿宋_GB2312" w:hAnsi="仿宋_GB2312" w:eastAsia="仿宋_GB2312" w:cs="仿宋_GB2312"/>
          <w:color w:val="auto"/>
          <w:kern w:val="0"/>
          <w:sz w:val="32"/>
          <w:szCs w:val="32"/>
          <w:highlight w:val="none"/>
        </w:rPr>
        <w:t>、</w:t>
      </w:r>
      <w:r>
        <w:rPr>
          <w:rFonts w:ascii="仿宋_GB2312" w:hAnsi="仿宋_GB2312" w:eastAsia="仿宋_GB2312" w:cs="仿宋_GB2312"/>
          <w:color w:val="auto"/>
          <w:kern w:val="0"/>
          <w:sz w:val="32"/>
          <w:szCs w:val="32"/>
          <w:highlight w:val="none"/>
        </w:rPr>
        <w:t>信息科技风险审计</w:t>
      </w:r>
      <w:r>
        <w:rPr>
          <w:rFonts w:hint="eastAsia" w:ascii="仿宋_GB2312" w:hAnsi="仿宋_GB2312" w:eastAsia="仿宋_GB2312" w:cs="仿宋_GB2312"/>
          <w:color w:val="auto"/>
          <w:kern w:val="0"/>
          <w:sz w:val="32"/>
          <w:szCs w:val="32"/>
          <w:highlight w:val="none"/>
        </w:rPr>
        <w:t>、</w:t>
      </w:r>
      <w:r>
        <w:rPr>
          <w:rFonts w:ascii="仿宋_GB2312" w:hAnsi="仿宋_GB2312" w:eastAsia="仿宋_GB2312" w:cs="仿宋_GB2312"/>
          <w:color w:val="auto"/>
          <w:kern w:val="0"/>
          <w:sz w:val="32"/>
          <w:szCs w:val="32"/>
          <w:highlight w:val="none"/>
        </w:rPr>
        <w:t>薪酬管理专项审计</w:t>
      </w:r>
      <w:r>
        <w:rPr>
          <w:rFonts w:hint="eastAsia" w:ascii="仿宋_GB2312" w:hAnsi="仿宋_GB2312" w:eastAsia="仿宋_GB2312" w:cs="仿宋_GB2312"/>
          <w:color w:val="auto"/>
          <w:kern w:val="0"/>
          <w:sz w:val="32"/>
          <w:szCs w:val="32"/>
          <w:highlight w:val="none"/>
        </w:rPr>
        <w:t>、</w:t>
      </w:r>
      <w:r>
        <w:rPr>
          <w:rFonts w:ascii="仿宋_GB2312" w:hAnsi="仿宋_GB2312" w:eastAsia="仿宋_GB2312" w:cs="仿宋_GB2312"/>
          <w:color w:val="auto"/>
          <w:kern w:val="0"/>
          <w:sz w:val="32"/>
          <w:szCs w:val="32"/>
          <w:highlight w:val="none"/>
        </w:rPr>
        <w:t>员工异常行为风险排查</w:t>
      </w:r>
      <w:r>
        <w:rPr>
          <w:rFonts w:hint="eastAsia" w:ascii="仿宋_GB2312" w:hAnsi="仿宋_GB2312" w:eastAsia="仿宋_GB2312" w:cs="仿宋_GB2312"/>
          <w:color w:val="auto"/>
          <w:kern w:val="0"/>
          <w:sz w:val="32"/>
          <w:szCs w:val="32"/>
          <w:highlight w:val="none"/>
        </w:rPr>
        <w:t>、</w:t>
      </w:r>
      <w:r>
        <w:rPr>
          <w:rFonts w:ascii="仿宋_GB2312" w:hAnsi="仿宋_GB2312" w:eastAsia="仿宋_GB2312" w:cs="仿宋_GB2312"/>
          <w:color w:val="auto"/>
          <w:kern w:val="0"/>
          <w:sz w:val="32"/>
          <w:szCs w:val="32"/>
          <w:highlight w:val="none"/>
        </w:rPr>
        <w:t>“征信、消保、反洗钱”管理综合审计</w:t>
      </w:r>
      <w:r>
        <w:rPr>
          <w:rFonts w:hint="eastAsia" w:ascii="仿宋_GB2312" w:hAnsi="仿宋_GB2312" w:eastAsia="仿宋_GB2312" w:cs="仿宋_GB2312"/>
          <w:color w:val="auto"/>
          <w:kern w:val="0"/>
          <w:sz w:val="32"/>
          <w:szCs w:val="32"/>
          <w:highlight w:val="none"/>
        </w:rPr>
        <w:t>等专项审计。同时，发挥审计部、纪委办的检查监督作用，综合运用专项检查、重点抽查、线索排查、案件查处、通报批评等方式，把问题导向、责任倒逼贯穿于全过程，提高监督的针对性和有效性。</w:t>
      </w:r>
    </w:p>
    <w:p>
      <w:pPr>
        <w:keepNext w:val="0"/>
        <w:keepLines w:val="0"/>
        <w:pageBreakBefore w:val="0"/>
        <w:widowControl/>
        <w:kinsoku/>
        <w:wordWrap/>
        <w:overflowPunct/>
        <w:topLinePunct w:val="0"/>
        <w:autoSpaceDE/>
        <w:bidi w:val="0"/>
        <w:adjustRightInd w:val="0"/>
        <w:snapToGrid w:val="0"/>
        <w:spacing w:after="200" w:line="520" w:lineRule="exact"/>
        <w:ind w:firstLine="642" w:firstLineChars="200"/>
        <w:rPr>
          <w:rFonts w:ascii="仿宋_GB2312" w:hAnsi="仿宋_GB2312" w:eastAsia="仿宋_GB2312" w:cs="仿宋_GB2312"/>
          <w:color w:val="auto"/>
          <w:kern w:val="0"/>
          <w:sz w:val="32"/>
          <w:szCs w:val="32"/>
          <w:highlight w:val="none"/>
        </w:rPr>
      </w:pPr>
      <w:r>
        <w:rPr>
          <w:rFonts w:hint="eastAsia" w:ascii="楷体_GB2312" w:hAnsi="楷体" w:eastAsia="楷体_GB2312" w:cs="楷体"/>
          <w:b/>
          <w:bCs/>
          <w:color w:val="auto"/>
          <w:sz w:val="32"/>
          <w:szCs w:val="32"/>
          <w:highlight w:val="none"/>
        </w:rPr>
        <w:t>（二）做强纪律教育，提升教育效果。</w:t>
      </w:r>
      <w:r>
        <w:rPr>
          <w:rFonts w:hint="eastAsia" w:ascii="仿宋_GB2312" w:hAnsi="仿宋_GB2312" w:eastAsia="仿宋_GB2312" w:cs="仿宋_GB2312"/>
          <w:b/>
          <w:bCs/>
          <w:color w:val="auto"/>
          <w:kern w:val="0"/>
          <w:sz w:val="32"/>
          <w:szCs w:val="32"/>
          <w:highlight w:val="none"/>
        </w:rPr>
        <w:t>一是</w:t>
      </w:r>
      <w:r>
        <w:rPr>
          <w:rFonts w:hint="eastAsia" w:ascii="仿宋_GB2312" w:hAnsi="仿宋_GB2312" w:eastAsia="仿宋_GB2312" w:cs="仿宋_GB2312"/>
          <w:color w:val="auto"/>
          <w:kern w:val="0"/>
          <w:sz w:val="32"/>
          <w:szCs w:val="32"/>
          <w:highlight w:val="none"/>
        </w:rPr>
        <w:t>严格回复党风廉政意见，按规定组织做好任前廉政测试和任前廉政谈话，严把政治关、廉洁关。</w:t>
      </w:r>
      <w:r>
        <w:rPr>
          <w:rFonts w:hint="eastAsia" w:ascii="仿宋_GB2312" w:hAnsi="仿宋_GB2312" w:eastAsia="仿宋_GB2312" w:cs="仿宋_GB2312"/>
          <w:b/>
          <w:bCs/>
          <w:color w:val="auto"/>
          <w:kern w:val="0"/>
          <w:sz w:val="32"/>
          <w:szCs w:val="32"/>
          <w:highlight w:val="none"/>
        </w:rPr>
        <w:t>二是</w:t>
      </w:r>
      <w:r>
        <w:rPr>
          <w:rFonts w:hint="eastAsia" w:ascii="仿宋_GB2312" w:hAnsi="仿宋_GB2312" w:eastAsia="仿宋_GB2312" w:cs="仿宋_GB2312"/>
          <w:color w:val="auto"/>
          <w:kern w:val="0"/>
          <w:sz w:val="32"/>
          <w:szCs w:val="32"/>
          <w:highlight w:val="none"/>
        </w:rPr>
        <w:t>以新时代“五廉工程”为抓手，持续开展廉洁文化建设，通过召开专题警示教育会议释纪释法、推动建设融合廉洁文化宣传教育于一体的连城农信“廉洁地标”、参观学习廉政教育基地、开展岗前警示教育等举措营造风清气正的良好氛围，多渠道激发干部员工的廉洁情感和道德追求。</w:t>
      </w:r>
    </w:p>
    <w:p>
      <w:pPr>
        <w:keepNext w:val="0"/>
        <w:keepLines w:val="0"/>
        <w:pageBreakBefore w:val="0"/>
        <w:widowControl/>
        <w:kinsoku/>
        <w:wordWrap/>
        <w:overflowPunct/>
        <w:topLinePunct w:val="0"/>
        <w:autoSpaceDE/>
        <w:bidi w:val="0"/>
        <w:adjustRightInd w:val="0"/>
        <w:snapToGrid w:val="0"/>
        <w:spacing w:after="200" w:line="520" w:lineRule="exact"/>
        <w:ind w:firstLine="642" w:firstLineChars="200"/>
        <w:rPr>
          <w:rFonts w:ascii="仿宋_GB2312" w:eastAsia="仿宋_GB2312"/>
          <w:sz w:val="32"/>
          <w:szCs w:val="32"/>
          <w:highlight w:val="none"/>
        </w:rPr>
      </w:pPr>
      <w:r>
        <w:rPr>
          <w:rFonts w:hint="eastAsia" w:ascii="楷体_GB2312" w:hAnsi="楷体" w:eastAsia="楷体_GB2312" w:cs="楷体"/>
          <w:b/>
          <w:bCs/>
          <w:color w:val="auto"/>
          <w:sz w:val="32"/>
          <w:szCs w:val="32"/>
          <w:highlight w:val="none"/>
        </w:rPr>
        <w:t>（三）做严执纪问责，提高问责质效。</w:t>
      </w:r>
      <w:r>
        <w:rPr>
          <w:rFonts w:hint="eastAsia" w:ascii="仿宋_GB2312" w:hAnsi="仿宋_GB2312" w:eastAsia="仿宋_GB2312" w:cs="仿宋_GB2312"/>
          <w:color w:val="auto"/>
          <w:kern w:val="0"/>
          <w:sz w:val="32"/>
          <w:szCs w:val="32"/>
          <w:highlight w:val="none"/>
        </w:rPr>
        <w:t>规范用好“四种形态”问责利器，通过坚持早发现、早提醒、早处理、早纠正，对尚未违纪问题，通过“第一种形态”红脸出汗达到教育效果，对违纪问题，坚决发现一起查处一起，同时注重纪法情理贯通融合，认真落实“三个区分开来”，探索建立符合联社自身发展特点的容错免责清单。</w:t>
      </w:r>
    </w:p>
    <w:bookmarkEnd w:id="8"/>
    <w:p>
      <w:pPr>
        <w:pStyle w:val="3"/>
        <w:keepNext w:val="0"/>
        <w:keepLines w:val="0"/>
        <w:pageBreakBefore w:val="0"/>
        <w:kinsoku/>
        <w:wordWrap/>
        <w:overflowPunct/>
        <w:topLinePunct w:val="0"/>
        <w:autoSpaceDE/>
        <w:bidi w:val="0"/>
        <w:spacing w:before="0" w:after="0" w:line="520" w:lineRule="exact"/>
        <w:jc w:val="center"/>
        <w:rPr>
          <w:rFonts w:ascii="黑体" w:hAnsi="仿宋" w:eastAsia="黑体"/>
          <w:b w:val="0"/>
          <w:bCs w:val="0"/>
          <w:kern w:val="2"/>
          <w:sz w:val="32"/>
          <w:szCs w:val="32"/>
          <w:highlight w:val="none"/>
        </w:rPr>
      </w:pPr>
      <w:bookmarkStart w:id="9" w:name="_Toc511721822"/>
      <w:r>
        <w:rPr>
          <w:rFonts w:hint="eastAsia" w:ascii="黑体" w:hAnsi="仿宋" w:eastAsia="黑体"/>
          <w:b w:val="0"/>
          <w:bCs w:val="0"/>
          <w:kern w:val="2"/>
          <w:sz w:val="32"/>
          <w:szCs w:val="32"/>
          <w:highlight w:val="none"/>
        </w:rPr>
        <w:t>第十二章  高级管理层运作情况</w:t>
      </w:r>
    </w:p>
    <w:p>
      <w:pPr>
        <w:keepNext w:val="0"/>
        <w:keepLines w:val="0"/>
        <w:pageBreakBefore w:val="0"/>
        <w:kinsoku/>
        <w:wordWrap/>
        <w:overflowPunct/>
        <w:topLinePunct w:val="0"/>
        <w:autoSpaceDE/>
        <w:bidi w:val="0"/>
        <w:spacing w:line="520" w:lineRule="exact"/>
        <w:ind w:firstLine="555"/>
        <w:rPr>
          <w:rFonts w:ascii="黑体" w:hAnsi="黑体" w:eastAsia="黑体"/>
          <w:sz w:val="32"/>
          <w:szCs w:val="32"/>
          <w:highlight w:val="none"/>
        </w:rPr>
      </w:pPr>
      <w:r>
        <w:rPr>
          <w:rFonts w:hint="eastAsia" w:ascii="黑体" w:hAnsi="黑体" w:eastAsia="黑体"/>
          <w:sz w:val="32"/>
          <w:szCs w:val="32"/>
          <w:highlight w:val="none"/>
        </w:rPr>
        <w:t>一、高级管理层履职运作情况</w:t>
      </w:r>
    </w:p>
    <w:bookmarkEnd w:id="9"/>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0" w:firstLineChars="200"/>
        <w:jc w:val="both"/>
        <w:textAlignment w:val="baseline"/>
        <w:rPr>
          <w:rFonts w:hint="eastAsia" w:ascii="仿宋_GB2312" w:eastAsia="仿宋_GB2312"/>
          <w:sz w:val="32"/>
          <w:szCs w:val="32"/>
          <w:highlight w:val="none"/>
        </w:rPr>
      </w:pPr>
      <w:bookmarkStart w:id="10" w:name="_Toc511721823"/>
      <w:r>
        <w:rPr>
          <w:rFonts w:hint="eastAsia" w:ascii="仿宋_GB2312" w:eastAsia="仿宋_GB2312" w:cs="仿宋_GB2312"/>
          <w:sz w:val="32"/>
          <w:szCs w:val="32"/>
          <w:highlight w:val="none"/>
          <w:shd w:val="clear" w:color="auto" w:fill="FFFFFF"/>
          <w:lang w:val="en-US"/>
        </w:rPr>
        <w:t>2024</w:t>
      </w:r>
      <w:r>
        <w:rPr>
          <w:rFonts w:hint="eastAsia" w:ascii="仿宋_GB2312" w:eastAsia="仿宋_GB2312" w:cs="仿宋_GB2312"/>
          <w:sz w:val="32"/>
          <w:szCs w:val="32"/>
          <w:highlight w:val="none"/>
          <w:shd w:val="clear" w:color="auto" w:fill="FFFFFF"/>
          <w:lang w:eastAsia="zh-CN"/>
        </w:rPr>
        <w:t>年，连城农信联社在省联社</w:t>
      </w:r>
      <w:r>
        <w:rPr>
          <w:rFonts w:hint="eastAsia" w:ascii="仿宋_GB2312" w:hAnsi="仿宋" w:eastAsia="仿宋_GB2312" w:cs="仿宋_GB2312"/>
          <w:sz w:val="32"/>
          <w:szCs w:val="32"/>
          <w:highlight w:val="none"/>
          <w:lang w:eastAsia="zh-CN"/>
        </w:rPr>
        <w:t>的正确领导下，</w:t>
      </w:r>
      <w:r>
        <w:rPr>
          <w:rFonts w:hint="eastAsia" w:ascii="Calibri" w:hAnsi="Times New Roman" w:eastAsia="仿宋_GB2312" w:cs="仿宋_GB2312"/>
          <w:sz w:val="32"/>
          <w:szCs w:val="32"/>
          <w:highlight w:val="none"/>
          <w:lang w:eastAsia="zh-CN"/>
        </w:rPr>
        <w:t>紧紧围绕省联社“三三战略”部署，团结带领全体员工在支农支小、助力乡村振兴、应对风险挑战等各项工作中持续发力，不断强化创新转型、守住风险底线</w:t>
      </w:r>
      <w:r>
        <w:rPr>
          <w:rFonts w:hint="eastAsia" w:hAnsi="Times New Roman" w:eastAsia="仿宋_GB2312" w:cs="仿宋_GB2312"/>
          <w:sz w:val="32"/>
          <w:szCs w:val="32"/>
          <w:highlight w:val="none"/>
          <w:lang w:eastAsia="zh-CN"/>
        </w:rPr>
        <w:t>，</w:t>
      </w:r>
      <w:r>
        <w:rPr>
          <w:rFonts w:hint="eastAsia" w:ascii="仿宋_GB2312" w:eastAsia="仿宋_GB2312"/>
          <w:sz w:val="32"/>
          <w:szCs w:val="32"/>
          <w:highlight w:val="none"/>
        </w:rPr>
        <w:t>较好地完成了202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年度的目标任务，</w:t>
      </w:r>
      <w:r>
        <w:rPr>
          <w:rFonts w:hint="eastAsia" w:ascii="仿宋_GB2312" w:hAnsi="宋体" w:eastAsia="仿宋_GB2312"/>
          <w:sz w:val="32"/>
          <w:szCs w:val="32"/>
          <w:highlight w:val="none"/>
        </w:rPr>
        <w:t>实现连城联社的持续、快速、稳定、健康发展</w:t>
      </w:r>
      <w:r>
        <w:rPr>
          <w:rFonts w:hint="eastAsia" w:ascii="仿宋_GB2312" w:eastAsia="仿宋_GB2312"/>
          <w:sz w:val="32"/>
          <w:szCs w:val="32"/>
          <w:highlight w:val="none"/>
        </w:rPr>
        <w:t>。</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0" w:firstLineChars="200"/>
        <w:jc w:val="both"/>
        <w:textAlignment w:val="baseline"/>
        <w:rPr>
          <w:rFonts w:hint="eastAsia" w:ascii="黑体" w:hAnsi="黑体" w:eastAsia="黑体"/>
          <w:sz w:val="32"/>
          <w:szCs w:val="32"/>
          <w:highlight w:val="none"/>
        </w:rPr>
      </w:pPr>
      <w:r>
        <w:rPr>
          <w:rFonts w:hint="eastAsia" w:ascii="黑体" w:hAnsi="黑体" w:eastAsia="黑体"/>
          <w:sz w:val="32"/>
          <w:szCs w:val="32"/>
          <w:highlight w:val="none"/>
        </w:rPr>
        <w:t>二、高级管理层对财务报告与其他必要的统计数据以及报告期内发生或将要发生的重大事项，进行讨论分析。</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楷体_GB2312" w:hAnsi="楷体" w:eastAsia="楷体_GB2312" w:cs="Arial"/>
          <w:b/>
          <w:sz w:val="32"/>
          <w:szCs w:val="32"/>
          <w:highlight w:val="none"/>
          <w:lang w:eastAsia="zh-CN"/>
        </w:rPr>
      </w:pPr>
      <w:r>
        <w:rPr>
          <w:rFonts w:hint="eastAsia" w:ascii="楷体_GB2312" w:hAnsi="楷体" w:eastAsia="楷体_GB2312" w:cs="Arial"/>
          <w:b/>
          <w:sz w:val="32"/>
          <w:szCs w:val="32"/>
          <w:highlight w:val="none"/>
        </w:rPr>
        <w:t>（一）报告期主要财务数据及指标的变动情况及原因分析</w:t>
      </w:r>
      <w:r>
        <w:rPr>
          <w:rFonts w:hint="eastAsia" w:ascii="楷体_GB2312" w:hAnsi="楷体" w:eastAsia="楷体_GB2312" w:cs="Arial"/>
          <w:b/>
          <w:sz w:val="32"/>
          <w:szCs w:val="32"/>
          <w:highlight w:val="none"/>
          <w:lang w:eastAsia="zh-CN"/>
        </w:rPr>
        <w:t>。</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0" w:firstLineChars="200"/>
        <w:jc w:val="both"/>
        <w:textAlignment w:val="baseline"/>
        <w:rPr>
          <w:rFonts w:hint="eastAsia" w:ascii="仿宋_GB2312" w:hAnsi="仿宋_GB2312" w:eastAsia="仿宋_GB2312" w:cs="仿宋_GB2312"/>
          <w:kern w:val="2"/>
          <w:sz w:val="32"/>
          <w:szCs w:val="32"/>
          <w:highlight w:val="none"/>
          <w:lang w:val="en-US" w:eastAsia="zh-CN" w:bidi="ar"/>
        </w:rPr>
      </w:pPr>
      <w:r>
        <w:rPr>
          <w:rFonts w:hint="eastAsia" w:ascii="仿宋_GB2312" w:hAnsi="仿宋" w:eastAsia="仿宋_GB2312"/>
          <w:kern w:val="0"/>
          <w:sz w:val="32"/>
          <w:szCs w:val="32"/>
          <w:highlight w:val="none"/>
        </w:rPr>
        <w:t>从202</w:t>
      </w:r>
      <w:r>
        <w:rPr>
          <w:rFonts w:hint="eastAsia" w:ascii="仿宋_GB2312" w:hAnsi="仿宋" w:eastAsia="仿宋_GB2312"/>
          <w:kern w:val="0"/>
          <w:sz w:val="32"/>
          <w:szCs w:val="32"/>
          <w:highlight w:val="none"/>
          <w:lang w:val="en-US" w:eastAsia="zh-CN"/>
        </w:rPr>
        <w:t>4</w:t>
      </w:r>
      <w:r>
        <w:rPr>
          <w:rFonts w:hint="eastAsia" w:ascii="仿宋_GB2312" w:hAnsi="仿宋" w:eastAsia="仿宋_GB2312"/>
          <w:kern w:val="0"/>
          <w:sz w:val="32"/>
          <w:szCs w:val="32"/>
          <w:highlight w:val="none"/>
        </w:rPr>
        <w:t>年度资产负债、业务及财务状况来看，我县农村信用社在上级部门的正确领导和全体员工的共同努力下，各项业务均得到较稳发展，存贷款规模稳步增长，经营效益保持稳定合理,但经营环境仍不容乐观</w:t>
      </w:r>
      <w:r>
        <w:rPr>
          <w:rFonts w:hint="eastAsia" w:ascii="仿宋_GB2312" w:hAnsi="仿宋_GB2312" w:eastAsia="仿宋_GB2312" w:cs="仿宋_GB2312"/>
          <w:b/>
          <w:sz w:val="32"/>
          <w:szCs w:val="32"/>
          <w:highlight w:val="none"/>
        </w:rPr>
        <w:t>：</w:t>
      </w:r>
      <w:r>
        <w:rPr>
          <w:rFonts w:hint="eastAsia" w:ascii="仿宋_GB2312" w:hAnsi="楷体" w:eastAsia="仿宋_GB2312" w:cs="楷体"/>
          <w:b/>
          <w:bCs/>
          <w:kern w:val="2"/>
          <w:sz w:val="32"/>
          <w:szCs w:val="32"/>
          <w:highlight w:val="none"/>
          <w:lang w:val="en-US" w:eastAsia="zh-CN" w:bidi="ar"/>
        </w:rPr>
        <w:t>1.</w:t>
      </w:r>
      <w:r>
        <w:rPr>
          <w:rFonts w:hint="eastAsia" w:ascii="仿宋_GB2312" w:hAnsi="仿宋_GB2312" w:eastAsia="仿宋_GB2312" w:cs="仿宋_GB2312"/>
          <w:b/>
          <w:bCs w:val="0"/>
          <w:kern w:val="2"/>
          <w:sz w:val="32"/>
          <w:szCs w:val="32"/>
          <w:highlight w:val="none"/>
          <w:lang w:val="en-US" w:eastAsia="zh-CN" w:bidi="ar"/>
        </w:rPr>
        <w:t>盈利水平有所减弱。</w:t>
      </w:r>
      <w:r>
        <w:rPr>
          <w:rFonts w:hint="eastAsia" w:ascii="仿宋_GB2312" w:hAnsi="仿宋_GB2312" w:eastAsia="仿宋_GB2312" w:cs="仿宋_GB2312"/>
          <w:kern w:val="2"/>
          <w:sz w:val="32"/>
          <w:szCs w:val="32"/>
          <w:highlight w:val="none"/>
          <w:lang w:val="en-US" w:eastAsia="zh-CN" w:bidi="ar"/>
        </w:rPr>
        <w:t>2024年，本社存贷利差收窄明显，经营利润显著减少，财务收入持续承压，减值支出和拨备压力持续增大，支持清非化险的财务资源日益紧张。2.</w:t>
      </w:r>
      <w:r>
        <w:rPr>
          <w:rFonts w:hint="eastAsia" w:ascii="仿宋_GB2312" w:hAnsi="楷体" w:eastAsia="仿宋_GB2312" w:cs="楷体"/>
          <w:b/>
          <w:bCs/>
          <w:kern w:val="2"/>
          <w:sz w:val="32"/>
          <w:szCs w:val="32"/>
          <w:highlight w:val="none"/>
          <w:lang w:val="en-US" w:eastAsia="zh-CN" w:bidi="ar"/>
        </w:rPr>
        <w:t>业务增长后劲不足。</w:t>
      </w:r>
      <w:r>
        <w:rPr>
          <w:rFonts w:hint="eastAsia" w:ascii="仿宋_GB2312" w:hAnsi="仿宋_GB2312" w:eastAsia="仿宋_GB2312" w:cs="仿宋_GB2312"/>
          <w:kern w:val="2"/>
          <w:sz w:val="32"/>
          <w:szCs w:val="32"/>
          <w:highlight w:val="none"/>
          <w:lang w:val="en-US" w:eastAsia="zh-CN" w:bidi="ar"/>
        </w:rPr>
        <w:t>2024年，本社存贷款业务增长势头放缓。各项存款仅完成全年规划数41.26%，贷款业务仅完成全年规划数的30.12%。</w:t>
      </w:r>
      <w:r>
        <w:rPr>
          <w:rFonts w:hint="eastAsia" w:ascii="仿宋_GB2312" w:hAnsi="楷体" w:eastAsia="仿宋_GB2312" w:cs="楷体"/>
          <w:b/>
          <w:bCs/>
          <w:kern w:val="2"/>
          <w:sz w:val="32"/>
          <w:szCs w:val="32"/>
          <w:highlight w:val="none"/>
          <w:lang w:val="en-US" w:eastAsia="zh-CN" w:bidi="ar"/>
        </w:rPr>
        <w:t>3.潜在风险压力较大。</w:t>
      </w:r>
      <w:r>
        <w:rPr>
          <w:rFonts w:hint="eastAsia" w:ascii="仿宋_GB2312" w:hAnsi="仿宋_GB2312" w:eastAsia="仿宋_GB2312" w:cs="仿宋_GB2312"/>
          <w:kern w:val="2"/>
          <w:sz w:val="32"/>
          <w:szCs w:val="32"/>
          <w:highlight w:val="none"/>
          <w:lang w:val="en-US" w:eastAsia="zh-CN" w:bidi="ar"/>
        </w:rPr>
        <w:t>至2024年末，本社逾期欠息贷款余额1.29亿元，比年初增加0.06亿元，潜在风险贷款余额2.85亿元，比年初新增0.48亿元。</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楷体_GB2312" w:hAnsi="楷体" w:eastAsia="楷体_GB2312" w:cs="Arial"/>
          <w:b/>
          <w:sz w:val="32"/>
          <w:szCs w:val="32"/>
          <w:highlight w:val="none"/>
        </w:rPr>
      </w:pPr>
      <w:r>
        <w:rPr>
          <w:rFonts w:hint="eastAsia" w:ascii="楷体_GB2312" w:hAnsi="楷体" w:eastAsia="楷体_GB2312" w:cs="Arial"/>
          <w:b/>
          <w:sz w:val="32"/>
          <w:szCs w:val="32"/>
          <w:highlight w:val="none"/>
        </w:rPr>
        <w:t>（二）业务经营状况。</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rPr>
      </w:pPr>
      <w:r>
        <w:rPr>
          <w:rFonts w:hint="eastAsia" w:ascii="仿宋_GB2312" w:hAnsi="仿宋_GB2312" w:eastAsia="仿宋_GB2312" w:cs="仿宋_GB2312"/>
          <w:color w:val="000000" w:themeColor="text1"/>
          <w:sz w:val="32"/>
          <w:szCs w:val="32"/>
          <w:highlight w:val="none"/>
        </w:rPr>
        <w:t>20</w:t>
      </w:r>
      <w:r>
        <w:rPr>
          <w:rFonts w:hint="eastAsia" w:ascii="仿宋_GB2312" w:hAnsi="仿宋_GB2312" w:eastAsia="仿宋_GB2312" w:cs="仿宋_GB2312"/>
          <w:color w:val="000000" w:themeColor="text1"/>
          <w:sz w:val="32"/>
          <w:szCs w:val="32"/>
          <w:highlight w:val="none"/>
          <w:lang w:val="en-US" w:eastAsia="zh-CN"/>
        </w:rPr>
        <w:t>24</w:t>
      </w:r>
      <w:r>
        <w:rPr>
          <w:rFonts w:hint="eastAsia" w:ascii="仿宋_GB2312" w:hAnsi="仿宋_GB2312" w:eastAsia="仿宋_GB2312" w:cs="仿宋_GB2312"/>
          <w:color w:val="000000" w:themeColor="text1"/>
          <w:sz w:val="32"/>
          <w:szCs w:val="32"/>
          <w:highlight w:val="none"/>
        </w:rPr>
        <w:t>年</w:t>
      </w:r>
      <w:r>
        <w:rPr>
          <w:rFonts w:hint="eastAsia" w:ascii="仿宋_GB2312" w:hAnsi="仿宋_GB2312" w:eastAsia="仿宋_GB2312" w:cs="仿宋_GB2312"/>
          <w:color w:val="000000" w:themeColor="text1"/>
          <w:sz w:val="32"/>
          <w:szCs w:val="32"/>
          <w:highlight w:val="none"/>
          <w:lang w:eastAsia="zh-CN"/>
        </w:rPr>
        <w:t>本社</w:t>
      </w:r>
      <w:r>
        <w:rPr>
          <w:rFonts w:hint="eastAsia" w:ascii="仿宋_GB2312" w:hAnsi="仿宋_GB2312" w:eastAsia="仿宋_GB2312" w:cs="仿宋_GB2312"/>
          <w:color w:val="000000" w:themeColor="text1"/>
          <w:sz w:val="32"/>
          <w:szCs w:val="32"/>
          <w:highlight w:val="none"/>
        </w:rPr>
        <w:t>能严格按照监管规定依法合规经营、审慎经营、诚信经营，</w:t>
      </w:r>
      <w:r>
        <w:rPr>
          <w:rFonts w:hint="eastAsia" w:ascii="仿宋_GB2312" w:hAnsi="仿宋_GB2312" w:eastAsia="仿宋_GB2312" w:cs="仿宋_GB2312"/>
          <w:snapToGrid w:val="0"/>
          <w:color w:val="000000" w:themeColor="text1"/>
          <w:kern w:val="0"/>
          <w:sz w:val="32"/>
          <w:szCs w:val="32"/>
          <w:highlight w:val="none"/>
        </w:rPr>
        <w:t>坚持每月经营班子业务经营报告会，针对经营管理过程中存在的主要问题，理事会及时提出意见和建议，加强指导，进一步完善经营管理机制。</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kern w:val="2"/>
          <w:sz w:val="32"/>
          <w:szCs w:val="32"/>
          <w:highlight w:val="none"/>
          <w:lang w:val="en-US" w:eastAsia="zh-CN" w:bidi="ar"/>
        </w:rPr>
        <w:t>1.主营业务方面。</w:t>
      </w:r>
      <w:r>
        <w:rPr>
          <w:rFonts w:hint="eastAsia" w:ascii="仿宋_GB2312" w:hAnsi="仿宋_GB2312" w:eastAsia="仿宋_GB2312" w:cs="仿宋_GB2312"/>
          <w:sz w:val="32"/>
          <w:szCs w:val="32"/>
          <w:highlight w:val="none"/>
        </w:rPr>
        <w:t>至202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年末，</w:t>
      </w:r>
      <w:r>
        <w:rPr>
          <w:rFonts w:hint="eastAsia" w:ascii="仿宋_GB2312" w:hAnsi="仿宋_GB2312" w:eastAsia="仿宋_GB2312" w:cs="仿宋_GB2312"/>
          <w:sz w:val="32"/>
          <w:szCs w:val="32"/>
          <w:highlight w:val="none"/>
          <w:lang w:eastAsia="zh-CN"/>
        </w:rPr>
        <w:t>本社</w:t>
      </w:r>
      <w:r>
        <w:rPr>
          <w:rFonts w:hint="eastAsia" w:ascii="仿宋_GB2312" w:hAnsi="仿宋_GB2312" w:eastAsia="仿宋_GB2312" w:cs="仿宋_GB2312"/>
          <w:sz w:val="32"/>
          <w:szCs w:val="32"/>
          <w:highlight w:val="none"/>
        </w:rPr>
        <w:t>各项存款余额</w:t>
      </w:r>
      <w:r>
        <w:rPr>
          <w:rFonts w:hint="eastAsia" w:ascii="仿宋_GB2312" w:hAnsi="仿宋_GB2312" w:eastAsia="仿宋_GB2312" w:cs="仿宋_GB2312"/>
          <w:kern w:val="0"/>
          <w:sz w:val="32"/>
          <w:szCs w:val="32"/>
          <w:highlight w:val="none"/>
          <w:lang w:val="en-US" w:eastAsia="zh-CN"/>
        </w:rPr>
        <w:t>649712</w:t>
      </w:r>
      <w:r>
        <w:rPr>
          <w:rFonts w:hint="eastAsia" w:ascii="仿宋_GB2312" w:hAnsi="仿宋_GB2312" w:eastAsia="仿宋_GB2312" w:cs="仿宋_GB2312"/>
          <w:kern w:val="0"/>
          <w:sz w:val="32"/>
          <w:szCs w:val="32"/>
          <w:highlight w:val="none"/>
        </w:rPr>
        <w:t>万元，比年初增加</w:t>
      </w:r>
      <w:r>
        <w:rPr>
          <w:rFonts w:hint="eastAsia" w:ascii="仿宋_GB2312" w:hAnsi="仿宋_GB2312" w:eastAsia="仿宋_GB2312" w:cs="仿宋_GB2312"/>
          <w:kern w:val="0"/>
          <w:sz w:val="32"/>
          <w:szCs w:val="32"/>
          <w:highlight w:val="none"/>
          <w:lang w:val="en-US" w:eastAsia="zh-CN"/>
        </w:rPr>
        <w:t>27355</w:t>
      </w:r>
      <w:r>
        <w:rPr>
          <w:rFonts w:hint="eastAsia" w:ascii="仿宋_GB2312" w:hAnsi="仿宋_GB2312" w:eastAsia="仿宋_GB2312" w:cs="仿宋_GB2312"/>
          <w:kern w:val="0"/>
          <w:sz w:val="32"/>
          <w:szCs w:val="32"/>
          <w:highlight w:val="none"/>
        </w:rPr>
        <w:t>万元，增幅</w:t>
      </w:r>
      <w:r>
        <w:rPr>
          <w:rFonts w:hint="eastAsia" w:ascii="仿宋_GB2312" w:hAnsi="仿宋_GB2312" w:eastAsia="仿宋_GB2312" w:cs="仿宋_GB2312"/>
          <w:kern w:val="0"/>
          <w:sz w:val="32"/>
          <w:szCs w:val="32"/>
          <w:highlight w:val="none"/>
          <w:lang w:val="en-US" w:eastAsia="zh-CN"/>
        </w:rPr>
        <w:t>4.4</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sz w:val="32"/>
          <w:szCs w:val="32"/>
          <w:highlight w:val="none"/>
        </w:rPr>
        <w:t>,存款增量占全县增量的</w:t>
      </w:r>
      <w:r>
        <w:rPr>
          <w:rFonts w:hint="eastAsia" w:ascii="仿宋_GB2312" w:hAnsi="仿宋_GB2312" w:eastAsia="仿宋_GB2312" w:cs="仿宋_GB2312"/>
          <w:sz w:val="32"/>
          <w:szCs w:val="32"/>
          <w:highlight w:val="none"/>
          <w:lang w:val="en-US" w:eastAsia="zh-CN"/>
        </w:rPr>
        <w:t>56.82</w:t>
      </w:r>
      <w:r>
        <w:rPr>
          <w:rFonts w:hint="eastAsia" w:ascii="仿宋_GB2312" w:hAnsi="仿宋_GB2312" w:eastAsia="仿宋_GB2312" w:cs="仿宋_GB2312"/>
          <w:sz w:val="32"/>
          <w:szCs w:val="32"/>
          <w:highlight w:val="none"/>
        </w:rPr>
        <w:t>%，存款市场份额</w:t>
      </w:r>
      <w:r>
        <w:rPr>
          <w:rFonts w:hint="eastAsia" w:ascii="仿宋_GB2312" w:hAnsi="仿宋_GB2312" w:eastAsia="仿宋_GB2312" w:cs="仿宋_GB2312"/>
          <w:sz w:val="32"/>
          <w:szCs w:val="32"/>
          <w:highlight w:val="none"/>
          <w:lang w:val="en-US" w:eastAsia="zh-CN"/>
        </w:rPr>
        <w:t>37.46</w:t>
      </w:r>
      <w:r>
        <w:rPr>
          <w:rFonts w:hint="eastAsia" w:ascii="仿宋_GB2312" w:hAnsi="仿宋_GB2312" w:eastAsia="仿宋_GB2312" w:cs="仿宋_GB2312"/>
          <w:sz w:val="32"/>
          <w:szCs w:val="32"/>
          <w:highlight w:val="none"/>
        </w:rPr>
        <w:t>%，比年初提升</w:t>
      </w:r>
      <w:r>
        <w:rPr>
          <w:rFonts w:hint="eastAsia" w:ascii="仿宋_GB2312" w:hAnsi="仿宋_GB2312" w:eastAsia="仿宋_GB2312" w:cs="仿宋_GB2312"/>
          <w:sz w:val="32"/>
          <w:szCs w:val="32"/>
          <w:highlight w:val="none"/>
          <w:lang w:val="en-US" w:eastAsia="zh-CN"/>
        </w:rPr>
        <w:t>0.55</w:t>
      </w:r>
      <w:r>
        <w:rPr>
          <w:rFonts w:hint="eastAsia" w:ascii="仿宋_GB2312" w:hAnsi="仿宋_GB2312" w:eastAsia="仿宋_GB2312" w:cs="仿宋_GB2312"/>
          <w:sz w:val="32"/>
          <w:szCs w:val="32"/>
          <w:highlight w:val="none"/>
        </w:rPr>
        <w:t>个百分点，位居全县8家金融机构第一。各项贷款余额</w:t>
      </w:r>
      <w:r>
        <w:rPr>
          <w:rFonts w:hint="eastAsia" w:ascii="仿宋_GB2312" w:hAnsi="仿宋_GB2312" w:eastAsia="仿宋_GB2312" w:cs="仿宋_GB2312"/>
          <w:kern w:val="0"/>
          <w:sz w:val="32"/>
          <w:szCs w:val="32"/>
          <w:highlight w:val="none"/>
          <w:lang w:val="en-US" w:eastAsia="zh-CN"/>
        </w:rPr>
        <w:t>499093</w:t>
      </w:r>
      <w:r>
        <w:rPr>
          <w:rFonts w:hint="eastAsia" w:ascii="仿宋_GB2312" w:hAnsi="仿宋_GB2312" w:eastAsia="仿宋_GB2312" w:cs="仿宋_GB2312"/>
          <w:sz w:val="32"/>
          <w:szCs w:val="32"/>
          <w:highlight w:val="none"/>
        </w:rPr>
        <w:t>万元，比年初增加</w:t>
      </w:r>
      <w:r>
        <w:rPr>
          <w:rFonts w:hint="eastAsia" w:ascii="仿宋_GB2312" w:hAnsi="仿宋_GB2312" w:eastAsia="仿宋_GB2312" w:cs="仿宋_GB2312"/>
          <w:kern w:val="0"/>
          <w:sz w:val="32"/>
          <w:szCs w:val="32"/>
          <w:highlight w:val="none"/>
          <w:lang w:val="en-US" w:eastAsia="zh-CN"/>
        </w:rPr>
        <w:t>17350</w:t>
      </w:r>
      <w:r>
        <w:rPr>
          <w:rFonts w:hint="eastAsia" w:ascii="仿宋_GB2312" w:hAnsi="仿宋_GB2312" w:eastAsia="仿宋_GB2312" w:cs="仿宋_GB2312"/>
          <w:sz w:val="32"/>
          <w:szCs w:val="32"/>
          <w:highlight w:val="none"/>
        </w:rPr>
        <w:t>万元,增幅</w:t>
      </w:r>
      <w:r>
        <w:rPr>
          <w:rFonts w:hint="eastAsia" w:ascii="仿宋_GB2312" w:hAnsi="仿宋_GB2312" w:eastAsia="仿宋_GB2312" w:cs="仿宋_GB2312"/>
          <w:kern w:val="0"/>
          <w:sz w:val="32"/>
          <w:szCs w:val="32"/>
          <w:highlight w:val="none"/>
          <w:lang w:val="en-US" w:eastAsia="zh-CN"/>
        </w:rPr>
        <w:t>3.6</w:t>
      </w:r>
      <w:r>
        <w:rPr>
          <w:rFonts w:hint="eastAsia" w:ascii="仿宋_GB2312" w:hAnsi="仿宋_GB2312" w:eastAsia="仿宋_GB2312" w:cs="仿宋_GB2312"/>
          <w:sz w:val="32"/>
          <w:szCs w:val="32"/>
          <w:highlight w:val="none"/>
        </w:rPr>
        <w:t>%；贷款增量占全县8家金融机构贷款增量的</w:t>
      </w:r>
      <w:r>
        <w:rPr>
          <w:rFonts w:hint="eastAsia" w:ascii="仿宋_GB2312" w:hAnsi="仿宋_GB2312" w:eastAsia="仿宋_GB2312" w:cs="仿宋_GB2312"/>
          <w:sz w:val="32"/>
          <w:szCs w:val="32"/>
          <w:highlight w:val="none"/>
          <w:lang w:val="en-US" w:eastAsia="zh-CN"/>
        </w:rPr>
        <w:t>17.58</w:t>
      </w:r>
      <w:r>
        <w:rPr>
          <w:rFonts w:hint="eastAsia" w:ascii="仿宋_GB2312" w:hAnsi="仿宋_GB2312" w:eastAsia="仿宋_GB2312" w:cs="仿宋_GB2312"/>
          <w:sz w:val="32"/>
          <w:szCs w:val="32"/>
          <w:highlight w:val="none"/>
        </w:rPr>
        <w:t>%，市场份额</w:t>
      </w:r>
      <w:r>
        <w:rPr>
          <w:rFonts w:hint="eastAsia" w:ascii="仿宋_GB2312" w:hAnsi="仿宋_GB2312" w:eastAsia="仿宋_GB2312" w:cs="仿宋_GB2312"/>
          <w:sz w:val="32"/>
          <w:szCs w:val="32"/>
          <w:highlight w:val="none"/>
          <w:lang w:val="en-US" w:eastAsia="zh-CN"/>
        </w:rPr>
        <w:t>31.8</w:t>
      </w:r>
      <w:r>
        <w:rPr>
          <w:rFonts w:hint="eastAsia" w:ascii="仿宋_GB2312" w:hAnsi="仿宋_GB2312" w:eastAsia="仿宋_GB2312" w:cs="仿宋_GB2312"/>
          <w:sz w:val="32"/>
          <w:szCs w:val="32"/>
          <w:highlight w:val="none"/>
        </w:rPr>
        <w:t>%，比年初</w:t>
      </w:r>
      <w:r>
        <w:rPr>
          <w:rFonts w:hint="eastAsia" w:ascii="仿宋_GB2312" w:hAnsi="仿宋_GB2312" w:eastAsia="仿宋_GB2312" w:cs="仿宋_GB2312"/>
          <w:sz w:val="32"/>
          <w:szCs w:val="32"/>
          <w:highlight w:val="none"/>
          <w:lang w:val="en-US" w:eastAsia="zh-CN"/>
        </w:rPr>
        <w:t>下降0.95</w:t>
      </w:r>
      <w:r>
        <w:rPr>
          <w:rFonts w:hint="eastAsia" w:ascii="仿宋_GB2312" w:hAnsi="仿宋_GB2312" w:eastAsia="仿宋_GB2312" w:cs="仿宋_GB2312"/>
          <w:sz w:val="32"/>
          <w:szCs w:val="32"/>
          <w:highlight w:val="none"/>
        </w:rPr>
        <w:t>个百分点，位居全县8家金融机构第一。个人贷款户数</w:t>
      </w:r>
      <w:r>
        <w:rPr>
          <w:rFonts w:hint="eastAsia" w:ascii="仿宋_GB2312" w:hAnsi="仿宋_GB2312" w:eastAsia="仿宋_GB2312" w:cs="仿宋_GB2312"/>
          <w:sz w:val="32"/>
          <w:szCs w:val="32"/>
          <w:highlight w:val="none"/>
          <w:lang w:val="en-US" w:eastAsia="zh-CN"/>
        </w:rPr>
        <w:t>38342</w:t>
      </w:r>
      <w:r>
        <w:rPr>
          <w:rFonts w:hint="eastAsia" w:ascii="仿宋_GB2312" w:hAnsi="仿宋_GB2312" w:eastAsia="仿宋_GB2312" w:cs="仿宋_GB2312"/>
          <w:sz w:val="32"/>
          <w:szCs w:val="32"/>
          <w:highlight w:val="none"/>
        </w:rPr>
        <w:t>户，比年初增加</w:t>
      </w:r>
      <w:r>
        <w:rPr>
          <w:rFonts w:hint="eastAsia" w:ascii="仿宋_GB2312" w:hAnsi="仿宋_GB2312" w:eastAsia="仿宋_GB2312" w:cs="仿宋_GB2312"/>
          <w:sz w:val="32"/>
          <w:szCs w:val="32"/>
          <w:highlight w:val="none"/>
          <w:lang w:val="en-US" w:eastAsia="zh-CN"/>
        </w:rPr>
        <w:t>840</w:t>
      </w:r>
      <w:r>
        <w:rPr>
          <w:rFonts w:hint="eastAsia" w:ascii="仿宋_GB2312" w:hAnsi="仿宋_GB2312" w:eastAsia="仿宋_GB2312" w:cs="仿宋_GB2312"/>
          <w:sz w:val="32"/>
          <w:szCs w:val="32"/>
          <w:highlight w:val="none"/>
        </w:rPr>
        <w:t>户，个贷覆盖面</w:t>
      </w:r>
      <w:r>
        <w:rPr>
          <w:rFonts w:hint="eastAsia" w:ascii="仿宋_GB2312" w:hAnsi="仿宋_GB2312" w:eastAsia="仿宋_GB2312" w:cs="仿宋_GB2312"/>
          <w:sz w:val="32"/>
          <w:szCs w:val="32"/>
          <w:highlight w:val="none"/>
          <w:lang w:val="en-US" w:eastAsia="zh-CN"/>
        </w:rPr>
        <w:t>57.2</w:t>
      </w:r>
      <w:r>
        <w:rPr>
          <w:rFonts w:hint="eastAsia" w:ascii="仿宋_GB2312" w:hAnsi="仿宋_GB2312" w:eastAsia="仿宋_GB2312" w:cs="仿宋_GB2312"/>
          <w:sz w:val="32"/>
          <w:szCs w:val="32"/>
          <w:highlight w:val="none"/>
        </w:rPr>
        <w:t>%，比年初提升1.</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个百分点。</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b/>
          <w:bCs/>
          <w:kern w:val="2"/>
          <w:sz w:val="32"/>
          <w:szCs w:val="32"/>
          <w:highlight w:val="none"/>
          <w:lang w:val="en-US" w:eastAsia="zh-CN" w:bidi="ar"/>
        </w:rPr>
        <w:t>2.经营效益方面：</w:t>
      </w:r>
      <w:r>
        <w:rPr>
          <w:rFonts w:hint="eastAsia" w:ascii="仿宋_GB2312" w:hAnsi="仿宋_GB2312" w:eastAsia="仿宋_GB2312" w:cs="仿宋_GB2312"/>
          <w:kern w:val="2"/>
          <w:sz w:val="32"/>
          <w:szCs w:val="32"/>
          <w:highlight w:val="none"/>
          <w:lang w:val="en-US" w:eastAsia="zh-CN" w:bidi="ar"/>
        </w:rPr>
        <w:t>实现各项财务收入4.36亿元，同比减少912.66万元、降幅2.05%；拨备前利润1.96亿元，同比减少1483.57万元，降幅7.05%；净利润5695万元，同比减少1119万元、降幅16.42%。资产利润率0.66%，同比减少0.21个百分点，资本利润率6.03%，同比减少1.53个百分点。</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b/>
          <w:bCs/>
          <w:kern w:val="2"/>
          <w:sz w:val="32"/>
          <w:szCs w:val="32"/>
          <w:highlight w:val="none"/>
          <w:lang w:val="en-US" w:eastAsia="zh-CN" w:bidi="ar"/>
        </w:rPr>
        <w:t>3.风险防控方面：</w:t>
      </w:r>
      <w:r>
        <w:rPr>
          <w:rFonts w:hint="eastAsia" w:ascii="仿宋_GB2312" w:hAnsi="仿宋_GB2312" w:eastAsia="仿宋_GB2312" w:cs="仿宋_GB2312"/>
          <w:kern w:val="2"/>
          <w:sz w:val="32"/>
          <w:szCs w:val="32"/>
          <w:highlight w:val="none"/>
          <w:lang w:val="en-US" w:eastAsia="zh-CN" w:bidi="ar"/>
        </w:rPr>
        <w:t>不良贷款余额8306万元，比年初下降1296万元，不良贷款率1.66%，比年初下降0.33%，逾期欠息贷款余额12880万元，比年初增加626万元；逾期欠息率2.58%，比年初新增0.04%。关注类贷款余额29449万元，比年初减少561万元，降幅2.01%，关注类贷款占比5.9%，比年初下降0.33个百分点。表外不良贷款清收1373万元，清收率7.25%。</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b/>
          <w:bCs/>
          <w:kern w:val="2"/>
          <w:sz w:val="32"/>
          <w:szCs w:val="32"/>
          <w:highlight w:val="none"/>
          <w:lang w:val="en-US" w:eastAsia="zh-CN" w:bidi="ar"/>
        </w:rPr>
        <w:t>4.网络金融方面：</w:t>
      </w:r>
      <w:r>
        <w:rPr>
          <w:rFonts w:hint="eastAsia" w:ascii="仿宋_GB2312" w:hAnsi="仿宋_GB2312" w:eastAsia="仿宋_GB2312" w:cs="仿宋_GB2312"/>
          <w:kern w:val="2"/>
          <w:sz w:val="32"/>
          <w:szCs w:val="32"/>
          <w:highlight w:val="none"/>
          <w:lang w:val="en-US" w:eastAsia="zh-CN" w:bidi="ar"/>
        </w:rPr>
        <w:t>优质移动支付有效客户数66340户，比年初新增3846户，优质客户签约率87.36%。高质量商户4071.6户，比年初新增1226.6户。社保卡新增发卡2286张，社保卡平均星级系数5.83，比年初新增0.49个星级系数。ETC有效签约数增加407户。</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sz w:val="32"/>
          <w:szCs w:val="32"/>
          <w:highlight w:val="none"/>
        </w:rPr>
        <w:t>5.</w:t>
      </w:r>
      <w:r>
        <w:rPr>
          <w:rFonts w:hint="eastAsia" w:ascii="仿宋_GB2312" w:hAnsi="仿宋_GB2312" w:eastAsia="仿宋_GB2312" w:cs="仿宋_GB2312"/>
          <w:b/>
          <w:bCs w:val="0"/>
          <w:color w:val="000000"/>
          <w:sz w:val="32"/>
          <w:szCs w:val="32"/>
          <w:highlight w:val="none"/>
          <w:lang w:eastAsia="zh-CN"/>
        </w:rPr>
        <w:t>融合创新成效更优。一是</w:t>
      </w:r>
      <w:r>
        <w:rPr>
          <w:rFonts w:hint="eastAsia" w:ascii="仿宋_GB2312" w:hAnsi="仿宋_GB2312" w:eastAsia="仿宋_GB2312" w:cs="仿宋_GB2312"/>
          <w:kern w:val="0"/>
          <w:sz w:val="32"/>
          <w:szCs w:val="32"/>
          <w:highlight w:val="none"/>
          <w:lang w:eastAsia="zh-CN"/>
        </w:rPr>
        <w:t>加强与人社部门合作，推动社保卡用卡环境建设。自</w:t>
      </w:r>
      <w:r>
        <w:rPr>
          <w:rFonts w:hint="eastAsia" w:ascii="仿宋_GB2312" w:hAnsi="仿宋_GB2312" w:eastAsia="仿宋_GB2312" w:cs="仿宋_GB2312"/>
          <w:kern w:val="0"/>
          <w:sz w:val="32"/>
          <w:szCs w:val="32"/>
          <w:highlight w:val="none"/>
          <w:lang w:val="en-US" w:eastAsia="zh-CN"/>
        </w:rPr>
        <w:t>2024年</w:t>
      </w:r>
      <w:r>
        <w:rPr>
          <w:rFonts w:hint="eastAsia" w:ascii="仿宋_GB2312" w:hAnsi="仿宋_GB2312" w:eastAsia="仿宋_GB2312" w:cs="仿宋_GB2312"/>
          <w:kern w:val="0"/>
          <w:sz w:val="32"/>
          <w:szCs w:val="32"/>
          <w:highlight w:val="none"/>
          <w:lang w:val="en-US"/>
        </w:rPr>
        <w:t>4</w:t>
      </w:r>
      <w:r>
        <w:rPr>
          <w:rFonts w:hint="eastAsia" w:ascii="仿宋_GB2312" w:hAnsi="仿宋_GB2312" w:eastAsia="仿宋_GB2312" w:cs="仿宋_GB2312"/>
          <w:kern w:val="0"/>
          <w:sz w:val="32"/>
          <w:szCs w:val="32"/>
          <w:highlight w:val="none"/>
          <w:lang w:eastAsia="zh-CN"/>
        </w:rPr>
        <w:t>月份开始代发城乡居民养老保以来，累计发放</w:t>
      </w:r>
      <w:r>
        <w:rPr>
          <w:rFonts w:hint="eastAsia" w:ascii="仿宋_GB2312" w:hAnsi="仿宋_GB2312" w:eastAsia="仿宋_GB2312" w:cs="仿宋_GB2312"/>
          <w:kern w:val="0"/>
          <w:sz w:val="32"/>
          <w:szCs w:val="32"/>
          <w:highlight w:val="none"/>
          <w:lang w:val="en-US"/>
        </w:rPr>
        <w:t>47.03</w:t>
      </w:r>
      <w:r>
        <w:rPr>
          <w:rFonts w:hint="eastAsia" w:ascii="仿宋_GB2312" w:hAnsi="仿宋_GB2312" w:eastAsia="仿宋_GB2312" w:cs="仿宋_GB2312"/>
          <w:kern w:val="0"/>
          <w:sz w:val="32"/>
          <w:szCs w:val="32"/>
          <w:highlight w:val="none"/>
          <w:lang w:eastAsia="zh-CN"/>
        </w:rPr>
        <w:t>万笔，代发金额</w:t>
      </w:r>
      <w:r>
        <w:rPr>
          <w:rFonts w:hint="eastAsia" w:ascii="仿宋_GB2312" w:hAnsi="仿宋_GB2312" w:eastAsia="仿宋_GB2312" w:cs="仿宋_GB2312"/>
          <w:kern w:val="0"/>
          <w:sz w:val="32"/>
          <w:szCs w:val="32"/>
          <w:highlight w:val="none"/>
          <w:lang w:val="en-US"/>
        </w:rPr>
        <w:t>1.1</w:t>
      </w:r>
      <w:r>
        <w:rPr>
          <w:rFonts w:hint="eastAsia" w:ascii="仿宋_GB2312" w:hAnsi="仿宋_GB2312" w:eastAsia="仿宋_GB2312" w:cs="仿宋_GB2312"/>
          <w:kern w:val="0"/>
          <w:sz w:val="32"/>
          <w:szCs w:val="32"/>
          <w:highlight w:val="none"/>
          <w:lang w:eastAsia="zh-CN"/>
        </w:rPr>
        <w:t>亿元。社保卡日均余额</w:t>
      </w:r>
      <w:r>
        <w:rPr>
          <w:rFonts w:hint="eastAsia" w:ascii="仿宋_GB2312" w:hAnsi="仿宋_GB2312" w:eastAsia="仿宋_GB2312" w:cs="仿宋_GB2312"/>
          <w:kern w:val="0"/>
          <w:sz w:val="32"/>
          <w:szCs w:val="32"/>
          <w:highlight w:val="none"/>
          <w:lang w:val="en-US"/>
        </w:rPr>
        <w:t>5.32</w:t>
      </w:r>
      <w:r>
        <w:rPr>
          <w:rFonts w:hint="eastAsia" w:ascii="仿宋_GB2312" w:hAnsi="仿宋_GB2312" w:eastAsia="仿宋_GB2312" w:cs="仿宋_GB2312"/>
          <w:kern w:val="0"/>
          <w:sz w:val="32"/>
          <w:szCs w:val="32"/>
          <w:highlight w:val="none"/>
          <w:lang w:eastAsia="zh-CN"/>
        </w:rPr>
        <w:t>亿元，较代发前增加</w:t>
      </w:r>
      <w:r>
        <w:rPr>
          <w:rFonts w:hint="eastAsia" w:ascii="仿宋_GB2312" w:hAnsi="仿宋_GB2312" w:eastAsia="仿宋_GB2312" w:cs="仿宋_GB2312"/>
          <w:kern w:val="0"/>
          <w:sz w:val="32"/>
          <w:szCs w:val="32"/>
          <w:highlight w:val="none"/>
          <w:lang w:val="en-US"/>
        </w:rPr>
        <w:t>9700</w:t>
      </w:r>
      <w:r>
        <w:rPr>
          <w:rFonts w:hint="eastAsia" w:ascii="仿宋_GB2312" w:hAnsi="仿宋_GB2312" w:eastAsia="仿宋_GB2312" w:cs="仿宋_GB2312"/>
          <w:kern w:val="0"/>
          <w:sz w:val="32"/>
          <w:szCs w:val="32"/>
          <w:highlight w:val="none"/>
          <w:lang w:eastAsia="zh-CN"/>
        </w:rPr>
        <w:t>万元。社保卡卡均存款</w:t>
      </w:r>
      <w:r>
        <w:rPr>
          <w:rFonts w:hint="eastAsia" w:ascii="仿宋_GB2312" w:hAnsi="仿宋_GB2312" w:eastAsia="仿宋_GB2312" w:cs="仿宋_GB2312"/>
          <w:kern w:val="0"/>
          <w:sz w:val="32"/>
          <w:szCs w:val="32"/>
          <w:highlight w:val="none"/>
          <w:lang w:val="en-US"/>
        </w:rPr>
        <w:t>1820</w:t>
      </w:r>
      <w:r>
        <w:rPr>
          <w:rFonts w:hint="eastAsia" w:ascii="仿宋_GB2312" w:hAnsi="仿宋_GB2312" w:eastAsia="仿宋_GB2312" w:cs="仿宋_GB2312"/>
          <w:kern w:val="0"/>
          <w:sz w:val="32"/>
          <w:szCs w:val="32"/>
          <w:highlight w:val="none"/>
          <w:lang w:eastAsia="zh-CN"/>
        </w:rPr>
        <w:t>元，较代发前增加</w:t>
      </w:r>
      <w:r>
        <w:rPr>
          <w:rFonts w:hint="eastAsia" w:ascii="仿宋_GB2312" w:hAnsi="仿宋_GB2312" w:eastAsia="仿宋_GB2312" w:cs="仿宋_GB2312"/>
          <w:kern w:val="0"/>
          <w:sz w:val="32"/>
          <w:szCs w:val="32"/>
          <w:highlight w:val="none"/>
          <w:lang w:val="en-US"/>
        </w:rPr>
        <w:t>433.81</w:t>
      </w:r>
      <w:r>
        <w:rPr>
          <w:rFonts w:hint="eastAsia" w:ascii="仿宋_GB2312" w:hAnsi="仿宋_GB2312" w:eastAsia="仿宋_GB2312" w:cs="仿宋_GB2312"/>
          <w:kern w:val="0"/>
          <w:sz w:val="32"/>
          <w:szCs w:val="32"/>
          <w:highlight w:val="none"/>
          <w:lang w:eastAsia="zh-CN"/>
        </w:rPr>
        <w:t>元。在居民保代发业务的促动下，有</w:t>
      </w:r>
      <w:r>
        <w:rPr>
          <w:rFonts w:hint="eastAsia" w:ascii="仿宋_GB2312" w:hAnsi="仿宋_GB2312" w:eastAsia="仿宋_GB2312" w:cs="仿宋_GB2312"/>
          <w:kern w:val="0"/>
          <w:sz w:val="32"/>
          <w:szCs w:val="32"/>
          <w:highlight w:val="none"/>
          <w:lang w:val="en-US"/>
        </w:rPr>
        <w:t>12141</w:t>
      </w:r>
      <w:r>
        <w:rPr>
          <w:rFonts w:hint="eastAsia" w:ascii="仿宋_GB2312" w:hAnsi="仿宋_GB2312" w:eastAsia="仿宋_GB2312" w:cs="仿宋_GB2312"/>
          <w:kern w:val="0"/>
          <w:sz w:val="32"/>
          <w:szCs w:val="32"/>
          <w:highlight w:val="none"/>
          <w:lang w:eastAsia="zh-CN"/>
        </w:rPr>
        <w:t>户社保卡从原先的不动户转化成动户，社保卡一星级客户增加</w:t>
      </w:r>
      <w:r>
        <w:rPr>
          <w:rFonts w:hint="eastAsia" w:ascii="仿宋_GB2312" w:hAnsi="仿宋_GB2312" w:eastAsia="仿宋_GB2312" w:cs="仿宋_GB2312"/>
          <w:kern w:val="0"/>
          <w:sz w:val="32"/>
          <w:szCs w:val="32"/>
          <w:highlight w:val="none"/>
          <w:lang w:val="en-US"/>
        </w:rPr>
        <w:t>3946</w:t>
      </w:r>
      <w:r>
        <w:rPr>
          <w:rFonts w:hint="eastAsia" w:ascii="仿宋_GB2312" w:hAnsi="仿宋_GB2312" w:eastAsia="仿宋_GB2312" w:cs="仿宋_GB2312"/>
          <w:kern w:val="0"/>
          <w:sz w:val="32"/>
          <w:szCs w:val="32"/>
          <w:highlight w:val="none"/>
          <w:lang w:eastAsia="zh-CN"/>
        </w:rPr>
        <w:t>户。</w:t>
      </w:r>
      <w:r>
        <w:rPr>
          <w:rFonts w:hint="eastAsia" w:ascii="仿宋_GB2312" w:hAnsi="仿宋_GB2312" w:eastAsia="仿宋_GB2312" w:cs="仿宋_GB2312"/>
          <w:b/>
          <w:bCs w:val="0"/>
          <w:sz w:val="32"/>
          <w:szCs w:val="32"/>
          <w:highlight w:val="none"/>
          <w:lang w:eastAsia="zh-CN"/>
        </w:rPr>
        <w:t>二是</w:t>
      </w:r>
      <w:r>
        <w:rPr>
          <w:rFonts w:hint="eastAsia" w:ascii="仿宋_GB2312" w:hAnsi="仿宋_GB2312" w:eastAsia="仿宋_GB2312" w:cs="仿宋_GB2312"/>
          <w:sz w:val="32"/>
          <w:szCs w:val="32"/>
          <w:highlight w:val="none"/>
          <w:lang w:eastAsia="zh-CN"/>
        </w:rPr>
        <w:t>抓住连城县冠豸山列入世界地质公园名录以及获评国家</w:t>
      </w:r>
      <w:r>
        <w:rPr>
          <w:rFonts w:hint="eastAsia" w:ascii="仿宋_GB2312" w:hAnsi="仿宋_GB2312" w:eastAsia="仿宋_GB2312" w:cs="仿宋_GB2312"/>
          <w:sz w:val="32"/>
          <w:szCs w:val="32"/>
          <w:highlight w:val="none"/>
          <w:lang w:val="en-US"/>
        </w:rPr>
        <w:t>5A</w:t>
      </w:r>
      <w:r>
        <w:rPr>
          <w:rFonts w:hint="eastAsia" w:ascii="仿宋_GB2312" w:hAnsi="仿宋_GB2312" w:eastAsia="仿宋_GB2312" w:cs="仿宋_GB2312"/>
          <w:sz w:val="32"/>
          <w:szCs w:val="32"/>
          <w:highlight w:val="none"/>
          <w:lang w:eastAsia="zh-CN"/>
        </w:rPr>
        <w:t>级旅游景区的契机，与连城县冠豸山国家级风景名胜管理委员会签订战略合作协议，由本社对接冠豸山票务系统升级改造项目并联合发行冠豸山联名借、贷记卡。至年末，发行联名借记卡</w:t>
      </w:r>
      <w:r>
        <w:rPr>
          <w:rFonts w:hint="eastAsia" w:ascii="仿宋_GB2312" w:hAnsi="仿宋_GB2312" w:eastAsia="仿宋_GB2312" w:cs="仿宋_GB2312"/>
          <w:sz w:val="32"/>
          <w:szCs w:val="32"/>
          <w:highlight w:val="none"/>
          <w:lang w:val="en-US"/>
        </w:rPr>
        <w:t>1714</w:t>
      </w:r>
      <w:r>
        <w:rPr>
          <w:rFonts w:hint="eastAsia" w:ascii="仿宋_GB2312" w:hAnsi="仿宋_GB2312" w:eastAsia="仿宋_GB2312" w:cs="仿宋_GB2312"/>
          <w:sz w:val="32"/>
          <w:szCs w:val="32"/>
          <w:highlight w:val="none"/>
          <w:lang w:eastAsia="zh-CN"/>
        </w:rPr>
        <w:t>张，贷记卡</w:t>
      </w:r>
      <w:r>
        <w:rPr>
          <w:rFonts w:hint="eastAsia" w:ascii="仿宋_GB2312" w:hAnsi="仿宋_GB2312" w:eastAsia="仿宋_GB2312" w:cs="仿宋_GB2312"/>
          <w:sz w:val="32"/>
          <w:szCs w:val="32"/>
          <w:highlight w:val="none"/>
          <w:lang w:val="en-US"/>
        </w:rPr>
        <w:t>98</w:t>
      </w:r>
      <w:r>
        <w:rPr>
          <w:rFonts w:hint="eastAsia" w:ascii="仿宋_GB2312" w:hAnsi="仿宋_GB2312" w:eastAsia="仿宋_GB2312" w:cs="仿宋_GB2312"/>
          <w:sz w:val="32"/>
          <w:szCs w:val="32"/>
          <w:highlight w:val="none"/>
          <w:lang w:eastAsia="zh-CN"/>
        </w:rPr>
        <w:t>张，票务系统累计交易</w:t>
      </w:r>
      <w:r>
        <w:rPr>
          <w:rFonts w:hint="eastAsia" w:ascii="仿宋_GB2312" w:hAnsi="仿宋_GB2312" w:eastAsia="仿宋_GB2312" w:cs="仿宋_GB2312"/>
          <w:sz w:val="32"/>
          <w:szCs w:val="32"/>
          <w:highlight w:val="none"/>
          <w:lang w:val="en-US"/>
        </w:rPr>
        <w:t>28954</w:t>
      </w:r>
      <w:r>
        <w:rPr>
          <w:rFonts w:hint="eastAsia" w:ascii="仿宋_GB2312" w:hAnsi="仿宋_GB2312" w:eastAsia="仿宋_GB2312" w:cs="仿宋_GB2312"/>
          <w:sz w:val="32"/>
          <w:szCs w:val="32"/>
          <w:highlight w:val="none"/>
          <w:lang w:eastAsia="zh-CN"/>
        </w:rPr>
        <w:t>笔，交易金额</w:t>
      </w:r>
      <w:r>
        <w:rPr>
          <w:rFonts w:hint="eastAsia" w:ascii="仿宋_GB2312" w:hAnsi="仿宋_GB2312" w:eastAsia="仿宋_GB2312" w:cs="仿宋_GB2312"/>
          <w:sz w:val="32"/>
          <w:szCs w:val="32"/>
          <w:highlight w:val="none"/>
          <w:lang w:val="en-US"/>
        </w:rPr>
        <w:t>778.41</w:t>
      </w:r>
      <w:r>
        <w:rPr>
          <w:rFonts w:hint="eastAsia" w:ascii="仿宋_GB2312" w:hAnsi="仿宋_GB2312" w:eastAsia="仿宋_GB2312" w:cs="仿宋_GB2312"/>
          <w:sz w:val="32"/>
          <w:szCs w:val="32"/>
          <w:highlight w:val="none"/>
          <w:lang w:eastAsia="zh-CN"/>
        </w:rPr>
        <w:t>万元。</w:t>
      </w:r>
      <w:r>
        <w:rPr>
          <w:rFonts w:hint="eastAsia" w:ascii="仿宋_GB2312" w:hAnsi="仿宋_GB2312" w:eastAsia="仿宋_GB2312" w:cs="仿宋_GB2312"/>
          <w:b/>
          <w:bCs/>
          <w:sz w:val="32"/>
          <w:szCs w:val="32"/>
          <w:highlight w:val="none"/>
          <w:lang w:eastAsia="zh-CN"/>
        </w:rPr>
        <w:t>三是</w:t>
      </w:r>
      <w:r>
        <w:rPr>
          <w:rFonts w:hint="eastAsia" w:ascii="仿宋_GB2312" w:hAnsi="仿宋_GB2312" w:eastAsia="仿宋_GB2312" w:cs="仿宋_GB2312"/>
          <w:sz w:val="32"/>
          <w:szCs w:val="32"/>
          <w:highlight w:val="none"/>
          <w:lang w:eastAsia="zh-CN"/>
        </w:rPr>
        <w:t>与连城县退役军人事务局达成战略合作关系。在营业部设立军人服务驿站，为现役和退役军人、军属提供就业辅导和信息咨询。适时推出“拥军贷”专项贷款，向连城县退役军人客群授信</w:t>
      </w:r>
      <w:r>
        <w:rPr>
          <w:rFonts w:hint="eastAsia" w:ascii="仿宋_GB2312" w:hAnsi="仿宋_GB2312" w:eastAsia="仿宋_GB2312" w:cs="仿宋_GB2312"/>
          <w:sz w:val="32"/>
          <w:szCs w:val="32"/>
          <w:highlight w:val="none"/>
          <w:lang w:val="en-US"/>
        </w:rPr>
        <w:t>8</w:t>
      </w:r>
      <w:r>
        <w:rPr>
          <w:rFonts w:hint="eastAsia" w:ascii="仿宋_GB2312" w:hAnsi="仿宋_GB2312" w:eastAsia="仿宋_GB2312" w:cs="仿宋_GB2312"/>
          <w:sz w:val="32"/>
          <w:szCs w:val="32"/>
          <w:highlight w:val="none"/>
          <w:lang w:eastAsia="zh-CN"/>
        </w:rPr>
        <w:t>亿元。相关合作案例被国家退役军人事务部采纳刊发。</w:t>
      </w:r>
      <w:r>
        <w:rPr>
          <w:rFonts w:hint="eastAsia" w:ascii="仿宋_GB2312" w:hAnsi="仿宋_GB2312" w:eastAsia="仿宋_GB2312" w:cs="仿宋_GB2312"/>
          <w:b/>
          <w:bCs/>
          <w:kern w:val="0"/>
          <w:sz w:val="32"/>
          <w:szCs w:val="32"/>
          <w:highlight w:val="none"/>
          <w:lang w:eastAsia="zh-CN"/>
        </w:rPr>
        <w:t>四是</w:t>
      </w:r>
      <w:r>
        <w:rPr>
          <w:rFonts w:hint="eastAsia" w:ascii="仿宋_GB2312" w:hAnsi="仿宋_GB2312" w:eastAsia="仿宋_GB2312" w:cs="仿宋_GB2312"/>
          <w:sz w:val="32"/>
          <w:szCs w:val="32"/>
          <w:highlight w:val="none"/>
          <w:lang w:eastAsia="zh-CN"/>
        </w:rPr>
        <w:t>与上市企业赛特新材公司签订战略合作协议。至年末，本社与赛特公司联合发行联名借记卡</w:t>
      </w:r>
      <w:r>
        <w:rPr>
          <w:rFonts w:hint="eastAsia" w:ascii="仿宋_GB2312" w:hAnsi="仿宋_GB2312" w:eastAsia="仿宋_GB2312" w:cs="仿宋_GB2312"/>
          <w:sz w:val="32"/>
          <w:szCs w:val="32"/>
          <w:highlight w:val="none"/>
          <w:lang w:val="en-US"/>
        </w:rPr>
        <w:t>869</w:t>
      </w:r>
      <w:r>
        <w:rPr>
          <w:rFonts w:hint="eastAsia" w:ascii="仿宋_GB2312" w:hAnsi="仿宋_GB2312" w:eastAsia="仿宋_GB2312" w:cs="仿宋_GB2312"/>
          <w:sz w:val="32"/>
          <w:szCs w:val="32"/>
          <w:highlight w:val="none"/>
          <w:lang w:eastAsia="zh-CN"/>
        </w:rPr>
        <w:t>张，全部绑定福利、奖金代发关系。同时，赛特新材以及其子公司赛特冷链和菲尔姆科技在本社开立了</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lang w:eastAsia="zh-CN"/>
        </w:rPr>
        <w:t>个对公账户，初步达成“筑巢引凤”的目的。</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b/>
          <w:bCs/>
          <w:sz w:val="32"/>
          <w:szCs w:val="32"/>
          <w:highlight w:val="none"/>
          <w:lang w:val="en-US" w:eastAsia="zh-CN"/>
        </w:rPr>
        <w:t>6.</w:t>
      </w:r>
      <w:r>
        <w:rPr>
          <w:rFonts w:hint="eastAsia" w:ascii="仿宋_GB2312" w:hAnsi="仿宋_GB2312" w:eastAsia="仿宋_GB2312" w:cs="仿宋_GB2312"/>
          <w:b/>
          <w:bCs w:val="0"/>
          <w:color w:val="000000"/>
          <w:sz w:val="32"/>
          <w:szCs w:val="32"/>
          <w:highlight w:val="none"/>
          <w:lang w:eastAsia="zh-CN"/>
        </w:rPr>
        <w:t>服务乡村举措更实。一是</w:t>
      </w:r>
      <w:r>
        <w:rPr>
          <w:rFonts w:hint="eastAsia" w:ascii="仿宋_GB2312" w:hAnsi="仿宋_GB2312" w:eastAsia="仿宋_GB2312" w:cs="仿宋_GB2312"/>
          <w:color w:val="000000"/>
          <w:sz w:val="32"/>
          <w:szCs w:val="32"/>
          <w:highlight w:val="none"/>
          <w:lang w:eastAsia="zh-CN"/>
        </w:rPr>
        <w:t>积极支持特色农业产业发展，重点关注连城县地瓜干、烤烟、兰花、石斛、白鸭等“土特产”产业链，至年末，累计发放地瓜干上下游产业链贷款</w:t>
      </w:r>
      <w:r>
        <w:rPr>
          <w:rFonts w:hint="eastAsia" w:ascii="仿宋_GB2312" w:hAnsi="仿宋_GB2312" w:eastAsia="仿宋_GB2312" w:cs="仿宋_GB2312"/>
          <w:color w:val="000000"/>
          <w:sz w:val="32"/>
          <w:szCs w:val="32"/>
          <w:highlight w:val="none"/>
          <w:lang w:val="en-US"/>
        </w:rPr>
        <w:t>5.68</w:t>
      </w:r>
      <w:r>
        <w:rPr>
          <w:rFonts w:hint="eastAsia" w:ascii="仿宋_GB2312" w:hAnsi="仿宋_GB2312" w:eastAsia="仿宋_GB2312" w:cs="仿宋_GB2312"/>
          <w:color w:val="000000"/>
          <w:sz w:val="32"/>
          <w:szCs w:val="32"/>
          <w:highlight w:val="none"/>
          <w:lang w:eastAsia="zh-CN"/>
        </w:rPr>
        <w:t>亿元；发放白鸭产业贷款</w:t>
      </w:r>
      <w:r>
        <w:rPr>
          <w:rFonts w:hint="eastAsia" w:ascii="仿宋_GB2312" w:hAnsi="仿宋_GB2312" w:eastAsia="仿宋_GB2312" w:cs="仿宋_GB2312"/>
          <w:color w:val="000000"/>
          <w:sz w:val="32"/>
          <w:szCs w:val="32"/>
          <w:highlight w:val="none"/>
          <w:lang w:val="en-US"/>
        </w:rPr>
        <w:t>5634</w:t>
      </w:r>
      <w:r>
        <w:rPr>
          <w:rFonts w:hint="eastAsia" w:ascii="仿宋_GB2312" w:hAnsi="仿宋_GB2312" w:eastAsia="仿宋_GB2312" w:cs="仿宋_GB2312"/>
          <w:color w:val="000000"/>
          <w:sz w:val="32"/>
          <w:szCs w:val="32"/>
          <w:highlight w:val="none"/>
          <w:lang w:eastAsia="zh-CN"/>
        </w:rPr>
        <w:t>万元，铁皮石斛产业贷款</w:t>
      </w:r>
      <w:r>
        <w:rPr>
          <w:rFonts w:hint="eastAsia" w:ascii="仿宋_GB2312" w:hAnsi="仿宋_GB2312" w:eastAsia="仿宋_GB2312" w:cs="仿宋_GB2312"/>
          <w:color w:val="000000"/>
          <w:sz w:val="32"/>
          <w:szCs w:val="32"/>
          <w:highlight w:val="none"/>
          <w:lang w:val="en-US"/>
        </w:rPr>
        <w:t>1940</w:t>
      </w:r>
      <w:r>
        <w:rPr>
          <w:rFonts w:hint="eastAsia" w:ascii="仿宋_GB2312" w:hAnsi="仿宋_GB2312" w:eastAsia="仿宋_GB2312" w:cs="仿宋_GB2312"/>
          <w:color w:val="000000"/>
          <w:sz w:val="32"/>
          <w:szCs w:val="32"/>
          <w:highlight w:val="none"/>
          <w:lang w:eastAsia="zh-CN"/>
        </w:rPr>
        <w:t>万元，烟叶生产贷款</w:t>
      </w:r>
      <w:r>
        <w:rPr>
          <w:rFonts w:hint="eastAsia" w:ascii="仿宋_GB2312" w:hAnsi="仿宋_GB2312" w:eastAsia="仿宋_GB2312" w:cs="仿宋_GB2312"/>
          <w:color w:val="000000"/>
          <w:sz w:val="32"/>
          <w:szCs w:val="32"/>
          <w:highlight w:val="none"/>
          <w:lang w:val="en-US"/>
        </w:rPr>
        <w:t>4790</w:t>
      </w:r>
      <w:r>
        <w:rPr>
          <w:rFonts w:hint="eastAsia" w:ascii="仿宋_GB2312" w:hAnsi="仿宋_GB2312" w:eastAsia="仿宋_GB2312" w:cs="仿宋_GB2312"/>
          <w:color w:val="000000"/>
          <w:sz w:val="32"/>
          <w:szCs w:val="32"/>
          <w:highlight w:val="none"/>
          <w:lang w:eastAsia="zh-CN"/>
        </w:rPr>
        <w:t>万元。新农主体贷款余额</w:t>
      </w:r>
      <w:r>
        <w:rPr>
          <w:rFonts w:hint="eastAsia" w:ascii="仿宋_GB2312" w:hAnsi="仿宋_GB2312" w:eastAsia="仿宋_GB2312" w:cs="仿宋_GB2312"/>
          <w:color w:val="000000"/>
          <w:sz w:val="32"/>
          <w:szCs w:val="32"/>
          <w:highlight w:val="none"/>
          <w:lang w:val="en-US"/>
        </w:rPr>
        <w:t>3.5</w:t>
      </w:r>
      <w:r>
        <w:rPr>
          <w:rFonts w:hint="eastAsia" w:ascii="仿宋_GB2312" w:hAnsi="仿宋_GB2312" w:eastAsia="仿宋_GB2312" w:cs="仿宋_GB2312"/>
          <w:color w:val="000000"/>
          <w:sz w:val="32"/>
          <w:szCs w:val="32"/>
          <w:highlight w:val="none"/>
          <w:lang w:eastAsia="zh-CN"/>
        </w:rPr>
        <w:t>亿元，粮食产业主体贷款余额</w:t>
      </w:r>
      <w:r>
        <w:rPr>
          <w:rFonts w:hint="eastAsia" w:ascii="仿宋_GB2312" w:hAnsi="仿宋_GB2312" w:eastAsia="仿宋_GB2312" w:cs="仿宋_GB2312"/>
          <w:color w:val="000000"/>
          <w:sz w:val="32"/>
          <w:szCs w:val="32"/>
          <w:highlight w:val="none"/>
          <w:lang w:val="en-US"/>
        </w:rPr>
        <w:t>4500</w:t>
      </w:r>
      <w:r>
        <w:rPr>
          <w:rFonts w:hint="eastAsia" w:ascii="仿宋_GB2312" w:hAnsi="仿宋_GB2312" w:eastAsia="仿宋_GB2312" w:cs="仿宋_GB2312"/>
          <w:color w:val="000000"/>
          <w:sz w:val="32"/>
          <w:szCs w:val="32"/>
          <w:highlight w:val="none"/>
          <w:lang w:eastAsia="zh-CN"/>
        </w:rPr>
        <w:t>余万元；农村创新创业带头人贷款余额</w:t>
      </w:r>
      <w:r>
        <w:rPr>
          <w:rFonts w:hint="eastAsia" w:ascii="仿宋_GB2312" w:hAnsi="仿宋_GB2312" w:eastAsia="仿宋_GB2312" w:cs="仿宋_GB2312"/>
          <w:color w:val="000000"/>
          <w:sz w:val="32"/>
          <w:szCs w:val="32"/>
          <w:highlight w:val="none"/>
          <w:lang w:val="en-US"/>
        </w:rPr>
        <w:t>5319</w:t>
      </w:r>
      <w:r>
        <w:rPr>
          <w:rFonts w:hint="eastAsia" w:ascii="仿宋_GB2312" w:hAnsi="仿宋_GB2312" w:eastAsia="仿宋_GB2312" w:cs="仿宋_GB2312"/>
          <w:color w:val="000000"/>
          <w:sz w:val="32"/>
          <w:szCs w:val="32"/>
          <w:highlight w:val="none"/>
          <w:lang w:eastAsia="zh-CN"/>
        </w:rPr>
        <w:t>万元，高素质农民贷款余额</w:t>
      </w:r>
      <w:r>
        <w:rPr>
          <w:rFonts w:hint="eastAsia" w:ascii="仿宋_GB2312" w:hAnsi="仿宋_GB2312" w:eastAsia="仿宋_GB2312" w:cs="仿宋_GB2312"/>
          <w:color w:val="000000"/>
          <w:sz w:val="32"/>
          <w:szCs w:val="32"/>
          <w:highlight w:val="none"/>
          <w:lang w:val="en-US"/>
        </w:rPr>
        <w:t>9000</w:t>
      </w:r>
      <w:r>
        <w:rPr>
          <w:rFonts w:hint="eastAsia" w:ascii="仿宋_GB2312" w:hAnsi="仿宋_GB2312" w:eastAsia="仿宋_GB2312" w:cs="仿宋_GB2312"/>
          <w:color w:val="000000"/>
          <w:sz w:val="32"/>
          <w:szCs w:val="32"/>
          <w:highlight w:val="none"/>
          <w:lang w:eastAsia="zh-CN"/>
        </w:rPr>
        <w:t>余万元。</w:t>
      </w:r>
      <w:r>
        <w:rPr>
          <w:rFonts w:hint="eastAsia" w:ascii="仿宋_GB2312" w:hAnsi="仿宋_GB2312" w:eastAsia="仿宋_GB2312" w:cs="仿宋_GB2312"/>
          <w:b/>
          <w:bCs w:val="0"/>
          <w:color w:val="000000"/>
          <w:sz w:val="32"/>
          <w:szCs w:val="32"/>
          <w:highlight w:val="none"/>
          <w:lang w:eastAsia="zh-CN"/>
        </w:rPr>
        <w:t>二是</w:t>
      </w:r>
      <w:r>
        <w:rPr>
          <w:rFonts w:hint="eastAsia" w:ascii="仿宋_GB2312" w:hAnsi="仿宋_GB2312" w:eastAsia="仿宋_GB2312" w:cs="仿宋_GB2312"/>
          <w:color w:val="000000"/>
          <w:sz w:val="32"/>
          <w:szCs w:val="32"/>
          <w:highlight w:val="none"/>
          <w:lang w:eastAsia="zh-CN"/>
        </w:rPr>
        <w:t>积极运用农村产权制度改革成果，推广村股份经济合作社股权质押贷款业务“福股贷”，助力盘活农村生产要素资源。至年末共办理“福股贷”</w:t>
      </w:r>
      <w:r>
        <w:rPr>
          <w:rFonts w:hint="eastAsia" w:ascii="仿宋_GB2312" w:hAnsi="仿宋_GB2312" w:eastAsia="仿宋_GB2312" w:cs="仿宋_GB2312"/>
          <w:color w:val="000000"/>
          <w:sz w:val="32"/>
          <w:szCs w:val="32"/>
          <w:highlight w:val="none"/>
          <w:lang w:val="en-US"/>
        </w:rPr>
        <w:t>31</w:t>
      </w:r>
      <w:r>
        <w:rPr>
          <w:rFonts w:hint="eastAsia" w:ascii="仿宋_GB2312" w:hAnsi="仿宋_GB2312" w:eastAsia="仿宋_GB2312" w:cs="仿宋_GB2312"/>
          <w:color w:val="000000"/>
          <w:sz w:val="32"/>
          <w:szCs w:val="32"/>
          <w:highlight w:val="none"/>
          <w:lang w:eastAsia="zh-CN"/>
        </w:rPr>
        <w:t>笔，金额</w:t>
      </w:r>
      <w:r>
        <w:rPr>
          <w:rFonts w:hint="eastAsia" w:ascii="仿宋_GB2312" w:hAnsi="仿宋_GB2312" w:eastAsia="仿宋_GB2312" w:cs="仿宋_GB2312"/>
          <w:color w:val="000000"/>
          <w:sz w:val="32"/>
          <w:szCs w:val="32"/>
          <w:highlight w:val="none"/>
          <w:lang w:val="en-US"/>
        </w:rPr>
        <w:t>270</w:t>
      </w:r>
      <w:r>
        <w:rPr>
          <w:rFonts w:hint="eastAsia" w:ascii="仿宋_GB2312" w:hAnsi="仿宋_GB2312" w:eastAsia="仿宋_GB2312" w:cs="仿宋_GB2312"/>
          <w:color w:val="000000"/>
          <w:sz w:val="32"/>
          <w:szCs w:val="32"/>
          <w:highlight w:val="none"/>
          <w:lang w:eastAsia="zh-CN"/>
        </w:rPr>
        <w:t>万元。</w:t>
      </w:r>
      <w:r>
        <w:rPr>
          <w:rFonts w:hint="eastAsia" w:ascii="仿宋_GB2312" w:hAnsi="仿宋_GB2312" w:eastAsia="仿宋_GB2312" w:cs="仿宋_GB2312"/>
          <w:b/>
          <w:bCs w:val="0"/>
          <w:color w:val="000000"/>
          <w:sz w:val="32"/>
          <w:szCs w:val="32"/>
          <w:highlight w:val="none"/>
          <w:lang w:eastAsia="zh-CN"/>
        </w:rPr>
        <w:t>三是</w:t>
      </w:r>
      <w:r>
        <w:rPr>
          <w:rFonts w:hint="eastAsia" w:ascii="仿宋_GB2312" w:hAnsi="仿宋_GB2312" w:eastAsia="仿宋_GB2312" w:cs="仿宋_GB2312"/>
          <w:color w:val="000000"/>
          <w:sz w:val="32"/>
          <w:szCs w:val="32"/>
          <w:highlight w:val="none"/>
          <w:lang w:eastAsia="zh-CN"/>
        </w:rPr>
        <w:t>新开通新型林业经营主体管理系统，满足林下种养殖、竹木加工、营林造林等绿色经济活动的资金需求。至年末，累计发放对公新林主体贷款</w:t>
      </w:r>
      <w:r>
        <w:rPr>
          <w:rFonts w:hint="eastAsia" w:ascii="仿宋_GB2312" w:hAnsi="仿宋_GB2312" w:eastAsia="仿宋_GB2312" w:cs="仿宋_GB2312"/>
          <w:color w:val="000000"/>
          <w:sz w:val="32"/>
          <w:szCs w:val="32"/>
          <w:highlight w:val="none"/>
          <w:lang w:val="en-US"/>
        </w:rPr>
        <w:t>13</w:t>
      </w:r>
      <w:r>
        <w:rPr>
          <w:rFonts w:hint="eastAsia" w:ascii="仿宋_GB2312" w:hAnsi="仿宋_GB2312" w:eastAsia="仿宋_GB2312" w:cs="仿宋_GB2312"/>
          <w:color w:val="000000"/>
          <w:sz w:val="32"/>
          <w:szCs w:val="32"/>
          <w:highlight w:val="none"/>
          <w:lang w:eastAsia="zh-CN"/>
        </w:rPr>
        <w:t>户，余额</w:t>
      </w:r>
      <w:r>
        <w:rPr>
          <w:rFonts w:hint="eastAsia" w:ascii="仿宋_GB2312" w:hAnsi="仿宋_GB2312" w:eastAsia="仿宋_GB2312" w:cs="仿宋_GB2312"/>
          <w:color w:val="000000"/>
          <w:sz w:val="32"/>
          <w:szCs w:val="32"/>
          <w:highlight w:val="none"/>
          <w:lang w:val="en-US"/>
        </w:rPr>
        <w:t>1882</w:t>
      </w:r>
      <w:r>
        <w:rPr>
          <w:rFonts w:hint="eastAsia" w:ascii="仿宋_GB2312" w:hAnsi="仿宋_GB2312" w:eastAsia="仿宋_GB2312" w:cs="仿宋_GB2312"/>
          <w:color w:val="000000"/>
          <w:sz w:val="32"/>
          <w:szCs w:val="32"/>
          <w:highlight w:val="none"/>
          <w:lang w:eastAsia="zh-CN"/>
        </w:rPr>
        <w:t>万元，对私新林主体贷款</w:t>
      </w:r>
      <w:r>
        <w:rPr>
          <w:rFonts w:hint="eastAsia" w:ascii="仿宋_GB2312" w:hAnsi="仿宋_GB2312" w:eastAsia="仿宋_GB2312" w:cs="仿宋_GB2312"/>
          <w:color w:val="000000"/>
          <w:sz w:val="32"/>
          <w:szCs w:val="32"/>
          <w:highlight w:val="none"/>
          <w:lang w:val="en-US"/>
        </w:rPr>
        <w:t>133</w:t>
      </w:r>
      <w:r>
        <w:rPr>
          <w:rFonts w:hint="eastAsia" w:ascii="仿宋_GB2312" w:hAnsi="仿宋_GB2312" w:eastAsia="仿宋_GB2312" w:cs="仿宋_GB2312"/>
          <w:color w:val="000000"/>
          <w:sz w:val="32"/>
          <w:szCs w:val="32"/>
          <w:highlight w:val="none"/>
          <w:lang w:eastAsia="zh-CN"/>
        </w:rPr>
        <w:t>户，余额</w:t>
      </w:r>
      <w:r>
        <w:rPr>
          <w:rFonts w:hint="eastAsia" w:ascii="仿宋_GB2312" w:hAnsi="仿宋_GB2312" w:eastAsia="仿宋_GB2312" w:cs="仿宋_GB2312"/>
          <w:color w:val="000000"/>
          <w:sz w:val="32"/>
          <w:szCs w:val="32"/>
          <w:highlight w:val="none"/>
          <w:lang w:val="en-US"/>
        </w:rPr>
        <w:t>3087</w:t>
      </w:r>
      <w:r>
        <w:rPr>
          <w:rFonts w:hint="eastAsia" w:ascii="仿宋_GB2312" w:hAnsi="仿宋_GB2312" w:eastAsia="仿宋_GB2312" w:cs="仿宋_GB2312"/>
          <w:color w:val="000000"/>
          <w:sz w:val="32"/>
          <w:szCs w:val="32"/>
          <w:highlight w:val="none"/>
          <w:lang w:eastAsia="zh-CN"/>
        </w:rPr>
        <w:t>万元。</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b/>
          <w:bCs w:val="0"/>
          <w:color w:val="000000"/>
          <w:sz w:val="32"/>
          <w:szCs w:val="32"/>
          <w:highlight w:val="none"/>
          <w:lang w:val="en-US" w:eastAsia="zh-CN"/>
        </w:rPr>
        <w:t>7</w:t>
      </w:r>
      <w:r>
        <w:rPr>
          <w:rFonts w:hint="eastAsia" w:ascii="仿宋_GB2312" w:hAnsi="仿宋_GB2312" w:eastAsia="仿宋_GB2312" w:cs="仿宋_GB2312"/>
          <w:b/>
          <w:bCs w:val="0"/>
          <w:color w:val="000000"/>
          <w:sz w:val="32"/>
          <w:szCs w:val="32"/>
          <w:highlight w:val="none"/>
          <w:lang w:val="en-US"/>
        </w:rPr>
        <w:t>.</w:t>
      </w:r>
      <w:r>
        <w:rPr>
          <w:rFonts w:hint="eastAsia" w:ascii="仿宋_GB2312" w:hAnsi="仿宋_GB2312" w:eastAsia="仿宋_GB2312" w:cs="仿宋_GB2312"/>
          <w:b/>
          <w:bCs w:val="0"/>
          <w:color w:val="000000"/>
          <w:sz w:val="32"/>
          <w:szCs w:val="32"/>
          <w:highlight w:val="none"/>
          <w:lang w:eastAsia="zh-CN"/>
        </w:rPr>
        <w:t>支持小微力度更强。一是</w:t>
      </w:r>
      <w:r>
        <w:rPr>
          <w:rFonts w:hint="eastAsia" w:ascii="仿宋_GB2312" w:hAnsi="仿宋_GB2312" w:eastAsia="仿宋_GB2312" w:cs="仿宋_GB2312"/>
          <w:color w:val="000000"/>
          <w:sz w:val="32"/>
          <w:szCs w:val="32"/>
          <w:highlight w:val="none"/>
          <w:lang w:eastAsia="zh-CN"/>
        </w:rPr>
        <w:t>持续加大普惠型小微贷款力度，应贷尽贷。至年末，普惠型小微企业贷款余额</w:t>
      </w:r>
      <w:r>
        <w:rPr>
          <w:rFonts w:hint="eastAsia" w:ascii="仿宋_GB2312" w:hAnsi="仿宋_GB2312" w:eastAsia="仿宋_GB2312" w:cs="仿宋_GB2312"/>
          <w:color w:val="000000"/>
          <w:sz w:val="32"/>
          <w:szCs w:val="32"/>
          <w:highlight w:val="none"/>
          <w:lang w:val="en-US"/>
        </w:rPr>
        <w:t>24.82</w:t>
      </w:r>
      <w:r>
        <w:rPr>
          <w:rFonts w:hint="eastAsia" w:ascii="仿宋_GB2312" w:hAnsi="仿宋_GB2312" w:eastAsia="仿宋_GB2312" w:cs="仿宋_GB2312"/>
          <w:color w:val="000000"/>
          <w:sz w:val="32"/>
          <w:szCs w:val="32"/>
          <w:highlight w:val="none"/>
          <w:lang w:eastAsia="zh-CN"/>
        </w:rPr>
        <w:t>亿元，比年初增加</w:t>
      </w:r>
      <w:r>
        <w:rPr>
          <w:rFonts w:hint="eastAsia" w:ascii="仿宋_GB2312" w:hAnsi="仿宋_GB2312" w:eastAsia="仿宋_GB2312" w:cs="仿宋_GB2312"/>
          <w:color w:val="000000"/>
          <w:sz w:val="32"/>
          <w:szCs w:val="32"/>
          <w:highlight w:val="none"/>
          <w:lang w:val="en-US"/>
        </w:rPr>
        <w:t>2.5</w:t>
      </w:r>
      <w:r>
        <w:rPr>
          <w:rFonts w:hint="eastAsia" w:ascii="仿宋_GB2312" w:hAnsi="仿宋_GB2312" w:eastAsia="仿宋_GB2312" w:cs="仿宋_GB2312"/>
          <w:color w:val="000000"/>
          <w:sz w:val="32"/>
          <w:szCs w:val="32"/>
          <w:highlight w:val="none"/>
          <w:lang w:eastAsia="zh-CN"/>
        </w:rPr>
        <w:t>亿元，增幅</w:t>
      </w:r>
      <w:r>
        <w:rPr>
          <w:rFonts w:hint="eastAsia" w:ascii="仿宋_GB2312" w:hAnsi="仿宋_GB2312" w:eastAsia="仿宋_GB2312" w:cs="仿宋_GB2312"/>
          <w:color w:val="000000"/>
          <w:sz w:val="32"/>
          <w:szCs w:val="32"/>
          <w:highlight w:val="none"/>
          <w:lang w:val="en-US"/>
        </w:rPr>
        <w:t>11.19%</w:t>
      </w:r>
      <w:r>
        <w:rPr>
          <w:rFonts w:hint="eastAsia" w:ascii="仿宋_GB2312" w:hAnsi="仿宋_GB2312" w:eastAsia="仿宋_GB2312" w:cs="仿宋_GB2312"/>
          <w:color w:val="000000"/>
          <w:sz w:val="32"/>
          <w:szCs w:val="32"/>
          <w:highlight w:val="none"/>
          <w:lang w:eastAsia="zh-CN"/>
        </w:rPr>
        <w:t>，高于各项贷款增速</w:t>
      </w:r>
      <w:r>
        <w:rPr>
          <w:rFonts w:hint="eastAsia" w:ascii="仿宋_GB2312" w:hAnsi="仿宋_GB2312" w:eastAsia="仿宋_GB2312" w:cs="仿宋_GB2312"/>
          <w:color w:val="000000"/>
          <w:sz w:val="32"/>
          <w:szCs w:val="32"/>
          <w:highlight w:val="none"/>
          <w:lang w:val="en-US"/>
        </w:rPr>
        <w:t>7.59</w:t>
      </w:r>
      <w:r>
        <w:rPr>
          <w:rFonts w:hint="eastAsia" w:ascii="仿宋_GB2312" w:hAnsi="仿宋_GB2312" w:eastAsia="仿宋_GB2312" w:cs="仿宋_GB2312"/>
          <w:color w:val="000000"/>
          <w:sz w:val="32"/>
          <w:szCs w:val="32"/>
          <w:highlight w:val="none"/>
          <w:lang w:eastAsia="zh-CN"/>
        </w:rPr>
        <w:t>个百分点。</w:t>
      </w:r>
      <w:r>
        <w:rPr>
          <w:rFonts w:hint="eastAsia" w:ascii="仿宋_GB2312" w:hAnsi="仿宋_GB2312" w:eastAsia="仿宋_GB2312" w:cs="仿宋_GB2312"/>
          <w:b/>
          <w:bCs w:val="0"/>
          <w:color w:val="000000"/>
          <w:sz w:val="32"/>
          <w:szCs w:val="32"/>
          <w:highlight w:val="none"/>
          <w:lang w:eastAsia="zh-CN"/>
        </w:rPr>
        <w:t>二是</w:t>
      </w:r>
      <w:r>
        <w:rPr>
          <w:rFonts w:hint="eastAsia" w:ascii="仿宋_GB2312" w:hAnsi="仿宋_GB2312" w:eastAsia="仿宋_GB2312" w:cs="仿宋_GB2312"/>
          <w:color w:val="000000"/>
          <w:sz w:val="32"/>
          <w:szCs w:val="32"/>
          <w:highlight w:val="none"/>
          <w:lang w:eastAsia="zh-CN"/>
        </w:rPr>
        <w:t>积极推广政策性贷款，累计发放两期民营提质争效贷款</w:t>
      </w:r>
      <w:r>
        <w:rPr>
          <w:rFonts w:hint="eastAsia" w:ascii="仿宋_GB2312" w:hAnsi="仿宋_GB2312" w:eastAsia="仿宋_GB2312" w:cs="仿宋_GB2312"/>
          <w:color w:val="000000"/>
          <w:sz w:val="32"/>
          <w:szCs w:val="32"/>
          <w:highlight w:val="none"/>
          <w:lang w:val="en-US"/>
        </w:rPr>
        <w:t>146</w:t>
      </w:r>
      <w:r>
        <w:rPr>
          <w:rFonts w:hint="eastAsia" w:ascii="仿宋_GB2312" w:hAnsi="仿宋_GB2312" w:eastAsia="仿宋_GB2312" w:cs="仿宋_GB2312"/>
          <w:color w:val="000000"/>
          <w:sz w:val="32"/>
          <w:szCs w:val="32"/>
          <w:highlight w:val="none"/>
          <w:lang w:eastAsia="zh-CN"/>
        </w:rPr>
        <w:t>户</w:t>
      </w:r>
      <w:r>
        <w:rPr>
          <w:rFonts w:hint="eastAsia" w:ascii="仿宋_GB2312" w:hAnsi="仿宋_GB2312" w:eastAsia="仿宋_GB2312" w:cs="仿宋_GB2312"/>
          <w:color w:val="000000"/>
          <w:sz w:val="32"/>
          <w:szCs w:val="32"/>
          <w:highlight w:val="none"/>
          <w:lang w:val="en-US"/>
        </w:rPr>
        <w:t>7593</w:t>
      </w:r>
      <w:r>
        <w:rPr>
          <w:rFonts w:hint="eastAsia" w:ascii="仿宋_GB2312" w:hAnsi="仿宋_GB2312" w:eastAsia="仿宋_GB2312" w:cs="仿宋_GB2312"/>
          <w:color w:val="000000"/>
          <w:sz w:val="32"/>
          <w:szCs w:val="32"/>
          <w:highlight w:val="none"/>
          <w:lang w:eastAsia="zh-CN"/>
        </w:rPr>
        <w:t>万元。</w:t>
      </w:r>
      <w:r>
        <w:rPr>
          <w:rFonts w:hint="eastAsia" w:ascii="仿宋_GB2312" w:hAnsi="仿宋_GB2312" w:eastAsia="仿宋_GB2312" w:cs="仿宋_GB2312"/>
          <w:b/>
          <w:bCs w:val="0"/>
          <w:color w:val="000000"/>
          <w:sz w:val="32"/>
          <w:szCs w:val="32"/>
          <w:highlight w:val="none"/>
          <w:lang w:eastAsia="zh-CN"/>
        </w:rPr>
        <w:t>三是</w:t>
      </w:r>
      <w:r>
        <w:rPr>
          <w:rFonts w:hint="eastAsia" w:ascii="仿宋_GB2312" w:hAnsi="仿宋_GB2312" w:eastAsia="仿宋_GB2312" w:cs="仿宋_GB2312"/>
          <w:color w:val="000000"/>
          <w:sz w:val="32"/>
          <w:szCs w:val="32"/>
          <w:highlight w:val="none"/>
          <w:lang w:eastAsia="zh-CN"/>
        </w:rPr>
        <w:t>贯彻落实小微企业融资协调工作机制，积极配合政府开展“千企万户大走访”活动。至年末，全县走访户数</w:t>
      </w:r>
      <w:r>
        <w:rPr>
          <w:rFonts w:hint="eastAsia" w:ascii="仿宋_GB2312" w:hAnsi="仿宋_GB2312" w:eastAsia="仿宋_GB2312" w:cs="仿宋_GB2312"/>
          <w:color w:val="000000"/>
          <w:sz w:val="32"/>
          <w:szCs w:val="32"/>
          <w:highlight w:val="none"/>
          <w:lang w:val="en-US"/>
        </w:rPr>
        <w:t>17156</w:t>
      </w:r>
      <w:r>
        <w:rPr>
          <w:rFonts w:hint="eastAsia" w:ascii="仿宋_GB2312" w:hAnsi="仿宋_GB2312" w:eastAsia="仿宋_GB2312" w:cs="仿宋_GB2312"/>
          <w:color w:val="000000"/>
          <w:sz w:val="32"/>
          <w:szCs w:val="32"/>
          <w:highlight w:val="none"/>
          <w:lang w:eastAsia="zh-CN"/>
        </w:rPr>
        <w:t>户，走访率</w:t>
      </w:r>
      <w:r>
        <w:rPr>
          <w:rFonts w:hint="eastAsia" w:ascii="仿宋_GB2312" w:hAnsi="仿宋_GB2312" w:eastAsia="仿宋_GB2312" w:cs="仿宋_GB2312"/>
          <w:color w:val="000000"/>
          <w:sz w:val="32"/>
          <w:szCs w:val="32"/>
          <w:highlight w:val="none"/>
          <w:lang w:val="en-US"/>
        </w:rPr>
        <w:t>41.93%</w:t>
      </w:r>
      <w:r>
        <w:rPr>
          <w:rFonts w:hint="eastAsia" w:ascii="仿宋_GB2312" w:hAnsi="仿宋_GB2312" w:eastAsia="仿宋_GB2312" w:cs="仿宋_GB2312"/>
          <w:color w:val="000000"/>
          <w:sz w:val="32"/>
          <w:szCs w:val="32"/>
          <w:highlight w:val="none"/>
          <w:lang w:eastAsia="zh-CN"/>
        </w:rPr>
        <w:t>，对其中</w:t>
      </w:r>
      <w:r>
        <w:rPr>
          <w:rFonts w:hint="eastAsia" w:ascii="仿宋_GB2312" w:hAnsi="仿宋_GB2312" w:eastAsia="仿宋_GB2312" w:cs="仿宋_GB2312"/>
          <w:color w:val="000000"/>
          <w:sz w:val="32"/>
          <w:szCs w:val="32"/>
          <w:highlight w:val="none"/>
          <w:lang w:val="en-US"/>
        </w:rPr>
        <w:t>1483</w:t>
      </w:r>
      <w:r>
        <w:rPr>
          <w:rFonts w:hint="eastAsia" w:ascii="仿宋_GB2312" w:hAnsi="仿宋_GB2312" w:eastAsia="仿宋_GB2312" w:cs="仿宋_GB2312"/>
          <w:color w:val="000000"/>
          <w:sz w:val="32"/>
          <w:szCs w:val="32"/>
          <w:highlight w:val="none"/>
          <w:lang w:eastAsia="zh-CN"/>
        </w:rPr>
        <w:t>户有意向在本社贷款的商户逐户落实，至年末已授信</w:t>
      </w:r>
      <w:r>
        <w:rPr>
          <w:rFonts w:hint="eastAsia" w:ascii="仿宋_GB2312" w:hAnsi="仿宋_GB2312" w:eastAsia="仿宋_GB2312" w:cs="仿宋_GB2312"/>
          <w:color w:val="000000"/>
          <w:sz w:val="32"/>
          <w:szCs w:val="32"/>
          <w:highlight w:val="none"/>
          <w:lang w:val="en-US"/>
        </w:rPr>
        <w:t>538</w:t>
      </w:r>
      <w:r>
        <w:rPr>
          <w:rFonts w:hint="eastAsia" w:ascii="仿宋_GB2312" w:hAnsi="仿宋_GB2312" w:eastAsia="仿宋_GB2312" w:cs="仿宋_GB2312"/>
          <w:color w:val="000000"/>
          <w:sz w:val="32"/>
          <w:szCs w:val="32"/>
          <w:highlight w:val="none"/>
          <w:lang w:eastAsia="zh-CN"/>
        </w:rPr>
        <w:t>户，金额</w:t>
      </w:r>
      <w:r>
        <w:rPr>
          <w:rFonts w:hint="eastAsia" w:ascii="仿宋_GB2312" w:hAnsi="仿宋_GB2312" w:eastAsia="仿宋_GB2312" w:cs="仿宋_GB2312"/>
          <w:color w:val="000000"/>
          <w:sz w:val="32"/>
          <w:szCs w:val="32"/>
          <w:highlight w:val="none"/>
          <w:lang w:val="en-US"/>
        </w:rPr>
        <w:t>2.36</w:t>
      </w:r>
      <w:r>
        <w:rPr>
          <w:rFonts w:hint="eastAsia" w:ascii="仿宋_GB2312" w:hAnsi="仿宋_GB2312" w:eastAsia="仿宋_GB2312" w:cs="仿宋_GB2312"/>
          <w:color w:val="000000"/>
          <w:sz w:val="32"/>
          <w:szCs w:val="32"/>
          <w:highlight w:val="none"/>
          <w:lang w:eastAsia="zh-CN"/>
        </w:rPr>
        <w:t>亿元，余额</w:t>
      </w:r>
      <w:r>
        <w:rPr>
          <w:rFonts w:hint="eastAsia" w:ascii="仿宋_GB2312" w:hAnsi="仿宋_GB2312" w:eastAsia="仿宋_GB2312" w:cs="仿宋_GB2312"/>
          <w:color w:val="000000"/>
          <w:sz w:val="32"/>
          <w:szCs w:val="32"/>
          <w:highlight w:val="none"/>
          <w:lang w:val="en-US"/>
        </w:rPr>
        <w:t>2.33</w:t>
      </w:r>
      <w:r>
        <w:rPr>
          <w:rFonts w:hint="eastAsia" w:ascii="仿宋_GB2312" w:hAnsi="仿宋_GB2312" w:eastAsia="仿宋_GB2312" w:cs="仿宋_GB2312"/>
          <w:color w:val="000000"/>
          <w:sz w:val="32"/>
          <w:szCs w:val="32"/>
          <w:highlight w:val="none"/>
          <w:lang w:eastAsia="zh-CN"/>
        </w:rPr>
        <w:t>亿元。</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2" w:firstLineChars="200"/>
        <w:jc w:val="both"/>
        <w:textAlignment w:val="baseline"/>
        <w:rPr>
          <w:rFonts w:hint="eastAsia" w:ascii="楷体_GB2312" w:hAnsi="楷体" w:eastAsia="楷体_GB2312" w:cs="Arial"/>
          <w:b/>
          <w:sz w:val="32"/>
          <w:szCs w:val="32"/>
          <w:highlight w:val="none"/>
        </w:rPr>
      </w:pPr>
      <w:r>
        <w:rPr>
          <w:rFonts w:hint="eastAsia" w:ascii="楷体_GB2312" w:hAnsi="楷体" w:eastAsia="楷体_GB2312" w:cs="Arial"/>
          <w:b/>
          <w:sz w:val="32"/>
          <w:szCs w:val="32"/>
          <w:highlight w:val="none"/>
        </w:rPr>
        <w:t>（</w:t>
      </w:r>
      <w:r>
        <w:rPr>
          <w:rFonts w:hint="eastAsia" w:ascii="楷体_GB2312" w:hAnsi="楷体" w:eastAsia="楷体_GB2312" w:cs="Arial"/>
          <w:b/>
          <w:sz w:val="32"/>
          <w:szCs w:val="32"/>
          <w:highlight w:val="none"/>
          <w:lang w:eastAsia="zh-CN"/>
        </w:rPr>
        <w:t>三</w:t>
      </w:r>
      <w:r>
        <w:rPr>
          <w:rFonts w:hint="eastAsia" w:ascii="楷体_GB2312" w:hAnsi="楷体" w:eastAsia="楷体_GB2312" w:cs="Arial"/>
          <w:b/>
          <w:sz w:val="32"/>
          <w:szCs w:val="32"/>
          <w:highlight w:val="none"/>
        </w:rPr>
        <w:t>）对未来发展的展望。</w:t>
      </w:r>
    </w:p>
    <w:p>
      <w:pPr>
        <w:keepNext w:val="0"/>
        <w:keepLines w:val="0"/>
        <w:pageBreakBefore w:val="0"/>
        <w:widowControl w:val="0"/>
        <w:pBdr>
          <w:bottom w:val="single" w:color="FFFFFF" w:sz="4" w:space="31"/>
        </w:pBdr>
        <w:kinsoku/>
        <w:wordWrap/>
        <w:overflowPunct/>
        <w:topLinePunct w:val="0"/>
        <w:autoSpaceDE/>
        <w:autoSpaceDN w:val="0"/>
        <w:bidi w:val="0"/>
        <w:adjustRightInd/>
        <w:snapToGrid/>
        <w:spacing w:after="0" w:line="520" w:lineRule="exact"/>
        <w:ind w:firstLine="640" w:firstLineChars="200"/>
        <w:jc w:val="both"/>
        <w:textAlignment w:val="baseline"/>
        <w:rPr>
          <w:rFonts w:ascii="仿宋_GB2312" w:hAnsi="宋体" w:eastAsia="仿宋_GB2312"/>
          <w:sz w:val="32"/>
          <w:szCs w:val="32"/>
          <w:highlight w:val="none"/>
        </w:rPr>
      </w:pPr>
      <w:r>
        <w:rPr>
          <w:rFonts w:hint="eastAsia" w:ascii="仿宋_GB2312" w:hAnsi="仿宋_GB2312" w:eastAsia="仿宋_GB2312" w:cs="仿宋_GB2312"/>
          <w:kern w:val="2"/>
          <w:sz w:val="32"/>
          <w:szCs w:val="32"/>
          <w:highlight w:val="none"/>
          <w:lang w:val="en-US" w:eastAsia="zh-CN" w:bidi="ar"/>
        </w:rPr>
        <w:t>2025年是“十四五”规划的收官之年，也是“十五五”规划的布局之年，连城农信联社将以习近平新时代中国特色社会主义思想为指导，全面贯彻党的二十大和二十届二中、三中全会以及中央经济工作会议精神，深入贯彻落实习近平总书记在福建考察时的重要讲话精神，坚持稳中求进工作总基调，完整准确全面贯彻新发展理念，主动融入发展大局，全力以赴确保本社“十四五”规划的各项目标顺利收官。</w:t>
      </w:r>
    </w:p>
    <w:bookmarkEnd w:id="10"/>
    <w:p>
      <w:pPr>
        <w:keepNext w:val="0"/>
        <w:keepLines w:val="0"/>
        <w:pageBreakBefore w:val="0"/>
        <w:kinsoku/>
        <w:wordWrap/>
        <w:overflowPunct/>
        <w:topLinePunct w:val="0"/>
        <w:autoSpaceDE/>
        <w:bidi w:val="0"/>
        <w:spacing w:line="520" w:lineRule="exact"/>
        <w:jc w:val="center"/>
        <w:rPr>
          <w:rFonts w:ascii="楷体_GB2312" w:hAnsi="楷体" w:eastAsia="楷体_GB2312" w:cs="Arial"/>
          <w:b/>
          <w:sz w:val="32"/>
          <w:szCs w:val="32"/>
          <w:highlight w:val="none"/>
        </w:rPr>
      </w:pPr>
      <w:r>
        <w:rPr>
          <w:rFonts w:hint="eastAsia" w:ascii="黑体" w:hAnsi="仿宋" w:eastAsia="黑体"/>
          <w:b/>
          <w:bCs/>
          <w:sz w:val="32"/>
          <w:szCs w:val="32"/>
          <w:highlight w:val="none"/>
        </w:rPr>
        <w:t>第十三章  备查文件目录</w:t>
      </w:r>
    </w:p>
    <w:p>
      <w:pPr>
        <w:keepNext w:val="0"/>
        <w:keepLines w:val="0"/>
        <w:pageBreakBefore w:val="0"/>
        <w:kinsoku/>
        <w:wordWrap/>
        <w:overflowPunct/>
        <w:topLinePunct w:val="0"/>
        <w:autoSpaceDE/>
        <w:bidi w:val="0"/>
        <w:spacing w:line="520" w:lineRule="exact"/>
        <w:ind w:firstLine="640" w:firstLineChars="200"/>
        <w:jc w:val="left"/>
        <w:rPr>
          <w:rFonts w:ascii="黑体" w:hAnsi="黑体" w:eastAsia="黑体"/>
          <w:kern w:val="0"/>
          <w:sz w:val="32"/>
          <w:szCs w:val="32"/>
          <w:highlight w:val="none"/>
        </w:rPr>
      </w:pPr>
      <w:r>
        <w:rPr>
          <w:rFonts w:hint="eastAsia" w:ascii="黑体" w:hAnsi="黑体" w:eastAsia="黑体"/>
          <w:kern w:val="0"/>
          <w:sz w:val="32"/>
          <w:szCs w:val="32"/>
          <w:highlight w:val="none"/>
        </w:rPr>
        <w:t>一、载有法定代表人、主任、会计机构负责人签名并盖章的财务报告。</w:t>
      </w:r>
    </w:p>
    <w:p>
      <w:pPr>
        <w:keepNext w:val="0"/>
        <w:keepLines w:val="0"/>
        <w:pageBreakBefore w:val="0"/>
        <w:kinsoku/>
        <w:wordWrap/>
        <w:overflowPunct/>
        <w:topLinePunct w:val="0"/>
        <w:autoSpaceDE/>
        <w:bidi w:val="0"/>
        <w:spacing w:line="520" w:lineRule="exact"/>
        <w:ind w:firstLine="640" w:firstLineChars="200"/>
        <w:jc w:val="left"/>
        <w:rPr>
          <w:rFonts w:ascii="黑体" w:hAnsi="黑体" w:eastAsia="黑体"/>
          <w:kern w:val="0"/>
          <w:sz w:val="32"/>
          <w:szCs w:val="32"/>
          <w:highlight w:val="none"/>
        </w:rPr>
      </w:pPr>
      <w:r>
        <w:rPr>
          <w:rFonts w:hint="eastAsia" w:ascii="黑体" w:hAnsi="黑体" w:eastAsia="黑体"/>
          <w:kern w:val="0"/>
          <w:sz w:val="32"/>
          <w:szCs w:val="32"/>
          <w:highlight w:val="none"/>
        </w:rPr>
        <w:t>二、载有会计师事务所盖章、注册会计师签名并盖章的审计报告。</w:t>
      </w:r>
    </w:p>
    <w:p>
      <w:pPr>
        <w:keepNext w:val="0"/>
        <w:keepLines w:val="0"/>
        <w:pageBreakBefore w:val="0"/>
        <w:kinsoku/>
        <w:wordWrap/>
        <w:overflowPunct/>
        <w:topLinePunct w:val="0"/>
        <w:autoSpaceDE/>
        <w:bidi w:val="0"/>
        <w:spacing w:line="520" w:lineRule="exact"/>
        <w:ind w:firstLine="640" w:firstLineChars="200"/>
        <w:jc w:val="left"/>
        <w:rPr>
          <w:rFonts w:ascii="黑体" w:hAnsi="黑体" w:eastAsia="黑体"/>
          <w:sz w:val="32"/>
          <w:szCs w:val="32"/>
          <w:highlight w:val="none"/>
        </w:rPr>
      </w:pPr>
      <w:r>
        <w:rPr>
          <w:rFonts w:hint="eastAsia" w:ascii="黑体" w:hAnsi="黑体" w:eastAsia="黑体"/>
          <w:kern w:val="0"/>
          <w:sz w:val="32"/>
          <w:szCs w:val="32"/>
          <w:highlight w:val="none"/>
        </w:rPr>
        <w:t>三、连城县农村信用合</w:t>
      </w:r>
      <w:r>
        <w:rPr>
          <w:rFonts w:hint="eastAsia" w:ascii="黑体" w:hAnsi="黑体" w:eastAsia="黑体"/>
          <w:sz w:val="32"/>
          <w:szCs w:val="32"/>
          <w:highlight w:val="none"/>
        </w:rPr>
        <w:t>作联社章程。</w:t>
      </w:r>
    </w:p>
    <w:p>
      <w:pPr>
        <w:keepNext w:val="0"/>
        <w:keepLines w:val="0"/>
        <w:pageBreakBefore w:val="0"/>
        <w:kinsoku/>
        <w:wordWrap/>
        <w:overflowPunct/>
        <w:topLinePunct w:val="0"/>
        <w:autoSpaceDE/>
        <w:bidi w:val="0"/>
        <w:spacing w:line="520" w:lineRule="exact"/>
        <w:ind w:firstLine="640" w:firstLineChars="200"/>
        <w:jc w:val="left"/>
        <w:rPr>
          <w:rFonts w:ascii="黑体" w:hAnsi="黑体" w:eastAsia="黑体"/>
          <w:sz w:val="32"/>
          <w:szCs w:val="32"/>
          <w:highlight w:val="none"/>
        </w:rPr>
      </w:pPr>
    </w:p>
    <w:p>
      <w:pPr>
        <w:keepNext w:val="0"/>
        <w:keepLines w:val="0"/>
        <w:pageBreakBefore w:val="0"/>
        <w:kinsoku/>
        <w:wordWrap/>
        <w:overflowPunct/>
        <w:topLinePunct w:val="0"/>
        <w:autoSpaceDE/>
        <w:bidi w:val="0"/>
        <w:spacing w:line="520" w:lineRule="exact"/>
        <w:jc w:val="center"/>
        <w:rPr>
          <w:rFonts w:ascii="楷体_GB2312" w:hAnsi="楷体" w:eastAsia="黑体" w:cs="Arial"/>
          <w:b/>
          <w:sz w:val="32"/>
          <w:szCs w:val="32"/>
          <w:highlight w:val="none"/>
        </w:rPr>
      </w:pPr>
      <w:r>
        <w:rPr>
          <w:rFonts w:hint="eastAsia" w:ascii="黑体" w:hAnsi="仿宋" w:eastAsia="黑体"/>
          <w:b/>
          <w:bCs/>
          <w:sz w:val="32"/>
          <w:szCs w:val="32"/>
          <w:highlight w:val="none"/>
        </w:rPr>
        <w:t>第十四章  财务报告</w:t>
      </w:r>
    </w:p>
    <w:p>
      <w:pPr>
        <w:keepNext w:val="0"/>
        <w:keepLines w:val="0"/>
        <w:pageBreakBefore w:val="0"/>
        <w:kinsoku/>
        <w:wordWrap/>
        <w:overflowPunct/>
        <w:topLinePunct w:val="0"/>
        <w:autoSpaceDE/>
        <w:bidi w:val="0"/>
        <w:spacing w:line="520" w:lineRule="exact"/>
        <w:ind w:firstLine="555"/>
        <w:rPr>
          <w:rFonts w:ascii="黑体" w:hAnsi="黑体" w:eastAsia="黑体"/>
          <w:sz w:val="32"/>
          <w:szCs w:val="32"/>
          <w:highlight w:val="none"/>
        </w:rPr>
      </w:pPr>
      <w:r>
        <w:rPr>
          <w:rFonts w:hint="eastAsia" w:ascii="黑体" w:hAnsi="黑体" w:eastAsia="黑体"/>
          <w:sz w:val="32"/>
          <w:szCs w:val="32"/>
          <w:highlight w:val="none"/>
        </w:rPr>
        <w:t>一、审计报告</w:t>
      </w:r>
    </w:p>
    <w:p>
      <w:pPr>
        <w:keepNext w:val="0"/>
        <w:keepLines w:val="0"/>
        <w:pageBreakBefore w:val="0"/>
        <w:kinsoku/>
        <w:wordWrap/>
        <w:overflowPunct/>
        <w:topLinePunct w:val="0"/>
        <w:autoSpaceDE/>
        <w:bidi w:val="0"/>
        <w:spacing w:line="520" w:lineRule="exact"/>
        <w:ind w:firstLine="555"/>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连城县农村信用合作联社202</w:t>
      </w:r>
      <w:r>
        <w:rPr>
          <w:rFonts w:hint="eastAsia" w:ascii="仿宋_GB2312" w:hAnsi="仿宋" w:eastAsia="仿宋_GB2312"/>
          <w:color w:val="auto"/>
          <w:sz w:val="32"/>
          <w:szCs w:val="32"/>
          <w:highlight w:val="none"/>
          <w:lang w:val="en-US" w:eastAsia="zh-CN"/>
        </w:rPr>
        <w:t>4</w:t>
      </w:r>
      <w:r>
        <w:rPr>
          <w:rFonts w:hint="eastAsia" w:ascii="仿宋_GB2312" w:hAnsi="仿宋" w:eastAsia="仿宋_GB2312"/>
          <w:color w:val="auto"/>
          <w:sz w:val="32"/>
          <w:szCs w:val="32"/>
          <w:highlight w:val="none"/>
        </w:rPr>
        <w:t>年度财务会计报告已经福建武夷会计师事务所有限公司审计，注册会计师签字，出具了标准无保留意见的审计报告。</w:t>
      </w:r>
    </w:p>
    <w:p>
      <w:pPr>
        <w:keepNext w:val="0"/>
        <w:keepLines w:val="0"/>
        <w:pageBreakBefore w:val="0"/>
        <w:kinsoku/>
        <w:wordWrap/>
        <w:overflowPunct/>
        <w:topLinePunct w:val="0"/>
        <w:autoSpaceDE/>
        <w:bidi w:val="0"/>
        <w:spacing w:line="520" w:lineRule="exact"/>
        <w:ind w:firstLine="555"/>
        <w:rPr>
          <w:highlight w:val="none"/>
        </w:rPr>
      </w:pPr>
      <w:r>
        <w:rPr>
          <w:rFonts w:hint="eastAsia" w:ascii="黑体" w:hAnsi="黑体" w:eastAsia="黑体"/>
          <w:sz w:val="32"/>
          <w:szCs w:val="32"/>
          <w:highlight w:val="none"/>
        </w:rPr>
        <w:t>二、财务报表及附注(详见附件)</w:t>
      </w:r>
    </w:p>
    <w:p>
      <w:pPr>
        <w:keepNext w:val="0"/>
        <w:keepLines w:val="0"/>
        <w:pageBreakBefore w:val="0"/>
        <w:kinsoku/>
        <w:wordWrap/>
        <w:overflowPunct/>
        <w:topLinePunct w:val="0"/>
        <w:autoSpaceDE/>
        <w:bidi w:val="0"/>
        <w:spacing w:line="520" w:lineRule="exact"/>
        <w:ind w:firstLine="4710" w:firstLineChars="1472"/>
        <w:rPr>
          <w:rFonts w:ascii="黑体" w:hAnsi="黑体" w:eastAsia="黑体"/>
          <w:sz w:val="32"/>
          <w:szCs w:val="32"/>
          <w:highlight w:val="none"/>
        </w:rPr>
      </w:pPr>
    </w:p>
    <w:sectPr>
      <w:headerReference r:id="rId3" w:type="default"/>
      <w:footerReference r:id="rId5" w:type="default"/>
      <w:headerReference r:id="rId4" w:type="even"/>
      <w:footerReference r:id="rId6"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汉仪书宋二KW">
    <w:panose1 w:val="00020600040101010101"/>
    <w:charset w:val="86"/>
    <w:family w:val="auto"/>
    <w:pitch w:val="default"/>
    <w:sig w:usb0="A00002BF" w:usb1="18EF7CFA" w:usb2="00000016"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Arial"/>
    <w:panose1 w:val="020B0604020202020204"/>
    <w:charset w:val="86"/>
    <w:family w:val="swiss"/>
    <w:pitch w:val="default"/>
    <w:sig w:usb0="00000000" w:usb1="00000000" w:usb2="0000003F" w:usb3="00000000" w:csb0="003F01FF" w:csb1="00000000"/>
  </w:font>
  <w:font w:name="Arial">
    <w:panose1 w:val="020B0604020202020204"/>
    <w:charset w:val="00"/>
    <w:family w:val="auto"/>
    <w:pitch w:val="default"/>
    <w:sig w:usb0="E0002AFF" w:usb1="C0007843" w:usb2="00000009" w:usb3="00000000" w:csb0="400001FF" w:csb1="FFFF0000"/>
  </w:font>
  <w:font w:name="Cambria">
    <w:panose1 w:val="02040803050406030204"/>
    <w:charset w:val="00"/>
    <w:family w:val="roman"/>
    <w:pitch w:val="default"/>
    <w:sig w:usb0="E00002FF" w:usb1="4000045F" w:usb2="00000000" w:usb3="00000000" w:csb0="2000019F" w:csb1="00000000"/>
  </w:font>
  <w:font w:name="华文中宋">
    <w:altName w:val="汉仪书宋二KW"/>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Century">
    <w:altName w:val="Times New Roman"/>
    <w:panose1 w:val="02040604050505020304"/>
    <w:charset w:val="00"/>
    <w:family w:val="roman"/>
    <w:pitch w:val="default"/>
    <w:sig w:usb0="00000000" w:usb1="00000000" w:usb2="00000000" w:usb3="00000000" w:csb0="2000009F" w:csb1="DFD70000"/>
  </w:font>
  <w:font w:name="楷体_GB2312">
    <w:panose1 w:val="02010609030101010101"/>
    <w:charset w:val="86"/>
    <w:family w:val="auto"/>
    <w:pitch w:val="default"/>
    <w:sig w:usb0="00000001" w:usb1="080E0000" w:usb2="00000000" w:usb3="00000000" w:csb0="00040000" w:csb1="00000000"/>
  </w:font>
  <w:font w:name="文鼎细圆简">
    <w:altName w:val="汉仪中黑KW"/>
    <w:panose1 w:val="00000000000000000000"/>
    <w:charset w:val="86"/>
    <w:family w:val="auto"/>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Times-Roman">
    <w:altName w:val="Times New Roman"/>
    <w:panose1 w:val="00000000000000000000"/>
    <w:charset w:val="86"/>
    <w:family w:val="auto"/>
    <w:pitch w:val="default"/>
    <w:sig w:usb0="00000000" w:usb1="00000000" w:usb2="00000010" w:usb3="00000000" w:csb0="00040000" w:csb1="00000000"/>
  </w:font>
  <w:font w:name="文鼎中隶简">
    <w:altName w:val="隶书"/>
    <w:panose1 w:val="00000000000000000000"/>
    <w:charset w:val="86"/>
    <w:family w:val="auto"/>
    <w:pitch w:val="default"/>
    <w:sig w:usb0="00000000" w:usb1="00000000" w:usb2="00000010" w:usb3="00000000" w:csb0="00040000" w:csb1="00000000"/>
  </w:font>
  <w:font w:name="隶书">
    <w:panose1 w:val="0201050906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方正小标宋简体">
    <w:altName w:val="汉仪书宋二KW"/>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FPEF">
    <w:altName w:val="仿宋_GB2312"/>
    <w:panose1 w:val="00000000000000000000"/>
    <w:charset w:val="86"/>
    <w:family w:val="auto"/>
    <w:pitch w:val="default"/>
    <w:sig w:usb0="00000000" w:usb1="00000000" w:usb2="00000010" w:usb3="00000000" w:csb0="00040000" w:csb1="00000000"/>
  </w:font>
  <w:font w:name="新宋体">
    <w:altName w:val="汉仪书宋二KW"/>
    <w:panose1 w:val="02010609030101010101"/>
    <w:charset w:val="86"/>
    <w:family w:val="modern"/>
    <w:pitch w:val="default"/>
    <w:sig w:usb0="00000000" w:usb1="00000000" w:usb2="0000000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59 -</w:t>
    </w:r>
    <w:r>
      <w:rPr>
        <w:rFonts w:ascii="宋体" w:hAnsi="宋体"/>
        <w:sz w:val="28"/>
        <w:szCs w:val="28"/>
      </w:rPr>
      <w:fldChar w:fldCharType="end"/>
    </w: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58 -</w:t>
    </w:r>
    <w:r>
      <w:rPr>
        <w:rFonts w:ascii="宋体" w:hAnsi="宋体"/>
        <w:sz w:val="28"/>
        <w:szCs w:val="28"/>
      </w:rPr>
      <w:fldChar w:fldCharType="end"/>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CD76F"/>
    <w:multiLevelType w:val="singleLevel"/>
    <w:tmpl w:val="A69CD76F"/>
    <w:lvl w:ilvl="0" w:tentative="0">
      <w:start w:val="2"/>
      <w:numFmt w:val="decimal"/>
      <w:lvlText w:val="%1."/>
      <w:lvlJc w:val="left"/>
      <w:pPr>
        <w:tabs>
          <w:tab w:val="left" w:pos="312"/>
        </w:tabs>
      </w:pPr>
    </w:lvl>
  </w:abstractNum>
  <w:abstractNum w:abstractNumId="1">
    <w:nsid w:val="A893F035"/>
    <w:multiLevelType w:val="singleLevel"/>
    <w:tmpl w:val="A893F035"/>
    <w:lvl w:ilvl="0" w:tentative="0">
      <w:start w:val="2"/>
      <w:numFmt w:val="chineseCounting"/>
      <w:suff w:val="nothing"/>
      <w:lvlText w:val="%1、"/>
      <w:lvlJc w:val="left"/>
      <w:rPr>
        <w:rFonts w:hint="eastAsia"/>
      </w:rPr>
    </w:lvl>
  </w:abstractNum>
  <w:abstractNum w:abstractNumId="2">
    <w:nsid w:val="E2569EBF"/>
    <w:multiLevelType w:val="singleLevel"/>
    <w:tmpl w:val="E2569EBF"/>
    <w:lvl w:ilvl="0" w:tentative="0">
      <w:start w:val="5"/>
      <w:numFmt w:val="chineseCounting"/>
      <w:suff w:val="nothing"/>
      <w:lvlText w:val="%1、"/>
      <w:lvlJc w:val="left"/>
      <w:rPr>
        <w:rFonts w:hint="eastAsia"/>
      </w:rPr>
    </w:lvl>
  </w:abstractNum>
  <w:abstractNum w:abstractNumId="3">
    <w:nsid w:val="00000003"/>
    <w:multiLevelType w:val="multilevel"/>
    <w:tmpl w:val="00000003"/>
    <w:lvl w:ilvl="0" w:tentative="0">
      <w:start w:val="1"/>
      <w:numFmt w:val="japaneseCounting"/>
      <w:pStyle w:val="203"/>
      <w:lvlText w:val="%1、"/>
      <w:lvlJc w:val="left"/>
      <w:pPr>
        <w:tabs>
          <w:tab w:val="left" w:pos="690"/>
        </w:tabs>
        <w:ind w:left="690" w:hanging="480"/>
      </w:pPr>
      <w:rPr>
        <w:rFonts w:hint="default"/>
      </w:rPr>
    </w:lvl>
    <w:lvl w:ilvl="1" w:tentative="0">
      <w:start w:val="9"/>
      <w:numFmt w:val="japaneseCounting"/>
      <w:lvlText w:val="（%2）"/>
      <w:lvlJc w:val="left"/>
      <w:pPr>
        <w:tabs>
          <w:tab w:val="left" w:pos="1140"/>
        </w:tabs>
        <w:ind w:left="1140" w:hanging="720"/>
      </w:pPr>
      <w:rPr>
        <w:rFonts w:hint="default"/>
      </w:rPr>
    </w:lvl>
    <w:lvl w:ilvl="2" w:tentative="0">
      <w:start w:val="17"/>
      <w:numFmt w:val="decimal"/>
      <w:lvlText w:val="%3、"/>
      <w:lvlJc w:val="left"/>
      <w:pPr>
        <w:tabs>
          <w:tab w:val="left" w:pos="1245"/>
        </w:tabs>
        <w:ind w:left="1245" w:hanging="405"/>
      </w:pPr>
      <w:rPr>
        <w:rFonts w:hint="default"/>
      </w:rPr>
    </w:lvl>
    <w:lvl w:ilvl="3" w:tentative="0">
      <w:start w:val="17"/>
      <w:numFmt w:val="decimal"/>
      <w:lvlText w:val="%4．"/>
      <w:lvlJc w:val="left"/>
      <w:pPr>
        <w:tabs>
          <w:tab w:val="left" w:pos="1665"/>
        </w:tabs>
        <w:ind w:left="1665" w:hanging="405"/>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8"/>
    <w:multiLevelType w:val="multilevel"/>
    <w:tmpl w:val="00000008"/>
    <w:lvl w:ilvl="0" w:tentative="0">
      <w:start w:val="1"/>
      <w:numFmt w:val="decimal"/>
      <w:pStyle w:val="208"/>
      <w:lvlText w:val="%1．"/>
      <w:lvlJc w:val="left"/>
      <w:pPr>
        <w:tabs>
          <w:tab w:val="left" w:pos="720"/>
        </w:tabs>
        <w:ind w:left="0" w:firstLine="0"/>
      </w:pPr>
      <w:rPr>
        <w:rFonts w:hint="eastAsia"/>
      </w:rPr>
    </w:lvl>
    <w:lvl w:ilvl="1" w:tentative="0">
      <w:start w:val="1"/>
      <w:numFmt w:val="decimal"/>
      <w:lvlText w:val="%1.%2"/>
      <w:lvlJc w:val="left"/>
      <w:pPr>
        <w:tabs>
          <w:tab w:val="left" w:pos="201"/>
        </w:tabs>
        <w:ind w:left="201" w:hanging="576"/>
      </w:pPr>
      <w:rPr>
        <w:rFonts w:hint="eastAsia"/>
      </w:rPr>
    </w:lvl>
    <w:lvl w:ilvl="2" w:tentative="0">
      <w:start w:val="1"/>
      <w:numFmt w:val="decimal"/>
      <w:lvlText w:val="%1.%2.%3"/>
      <w:lvlJc w:val="left"/>
      <w:pPr>
        <w:tabs>
          <w:tab w:val="left" w:pos="345"/>
        </w:tabs>
        <w:ind w:left="345" w:hanging="720"/>
      </w:pPr>
      <w:rPr>
        <w:rFonts w:hint="eastAsia"/>
      </w:rPr>
    </w:lvl>
    <w:lvl w:ilvl="3" w:tentative="0">
      <w:start w:val="1"/>
      <w:numFmt w:val="decimal"/>
      <w:lvlText w:val="%1.%2.%3.%4"/>
      <w:lvlJc w:val="left"/>
      <w:pPr>
        <w:tabs>
          <w:tab w:val="left" w:pos="489"/>
        </w:tabs>
        <w:ind w:left="489" w:hanging="864"/>
      </w:pPr>
      <w:rPr>
        <w:rFonts w:hint="eastAsia"/>
      </w:rPr>
    </w:lvl>
    <w:lvl w:ilvl="4" w:tentative="0">
      <w:start w:val="1"/>
      <w:numFmt w:val="decimal"/>
      <w:lvlText w:val="%1.%2.%3.%4.%5"/>
      <w:lvlJc w:val="left"/>
      <w:pPr>
        <w:tabs>
          <w:tab w:val="left" w:pos="633"/>
        </w:tabs>
        <w:ind w:left="633" w:hanging="1008"/>
      </w:pPr>
      <w:rPr>
        <w:rFonts w:hint="eastAsia"/>
      </w:rPr>
    </w:lvl>
    <w:lvl w:ilvl="5" w:tentative="0">
      <w:start w:val="1"/>
      <w:numFmt w:val="decimal"/>
      <w:lvlText w:val="%1.%2.%3.%4.%5.%6"/>
      <w:lvlJc w:val="left"/>
      <w:pPr>
        <w:tabs>
          <w:tab w:val="left" w:pos="777"/>
        </w:tabs>
        <w:ind w:left="777" w:hanging="1152"/>
      </w:pPr>
      <w:rPr>
        <w:rFonts w:hint="eastAsia"/>
      </w:rPr>
    </w:lvl>
    <w:lvl w:ilvl="6" w:tentative="0">
      <w:start w:val="1"/>
      <w:numFmt w:val="decimal"/>
      <w:lvlText w:val="%1.%2.%3.%4.%5.%6.%7"/>
      <w:lvlJc w:val="left"/>
      <w:pPr>
        <w:tabs>
          <w:tab w:val="left" w:pos="921"/>
        </w:tabs>
        <w:ind w:left="921" w:hanging="1296"/>
      </w:pPr>
      <w:rPr>
        <w:rFonts w:hint="eastAsia"/>
      </w:rPr>
    </w:lvl>
    <w:lvl w:ilvl="7" w:tentative="0">
      <w:start w:val="1"/>
      <w:numFmt w:val="decimal"/>
      <w:lvlText w:val="%1.%2.%3.%4.%5.%6.%7.%8"/>
      <w:lvlJc w:val="left"/>
      <w:pPr>
        <w:tabs>
          <w:tab w:val="left" w:pos="1065"/>
        </w:tabs>
        <w:ind w:left="1065" w:hanging="1440"/>
      </w:pPr>
      <w:rPr>
        <w:rFonts w:hint="eastAsia"/>
      </w:rPr>
    </w:lvl>
    <w:lvl w:ilvl="8" w:tentative="0">
      <w:start w:val="1"/>
      <w:numFmt w:val="decimal"/>
      <w:lvlText w:val="%1.%2.%3.%4.%5.%6.%7.%8.%9"/>
      <w:lvlJc w:val="left"/>
      <w:pPr>
        <w:tabs>
          <w:tab w:val="left" w:pos="1209"/>
        </w:tabs>
        <w:ind w:left="1209" w:hanging="1584"/>
      </w:pPr>
      <w:rPr>
        <w:rFonts w:hint="eastAsia"/>
      </w:rPr>
    </w:lvl>
  </w:abstractNum>
  <w:abstractNum w:abstractNumId="5">
    <w:nsid w:val="031E45D0"/>
    <w:multiLevelType w:val="singleLevel"/>
    <w:tmpl w:val="031E45D0"/>
    <w:lvl w:ilvl="0" w:tentative="0">
      <w:start w:val="1"/>
      <w:numFmt w:val="bullet"/>
      <w:pStyle w:val="181"/>
      <w:lvlText w:val=""/>
      <w:lvlJc w:val="left"/>
      <w:pPr>
        <w:tabs>
          <w:tab w:val="left" w:pos="425"/>
        </w:tabs>
        <w:ind w:left="425" w:hanging="425"/>
      </w:pPr>
      <w:rPr>
        <w:rFonts w:hint="default" w:ascii="Wingdings" w:hAnsi="Wingdings"/>
        <w:sz w:val="18"/>
      </w:rPr>
    </w:lvl>
  </w:abstractNum>
  <w:abstractNum w:abstractNumId="6">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pacing w:val="0"/>
        <w:w w:val="100"/>
        <w:kern w:val="21"/>
        <w:sz w:val="21"/>
      </w:rPr>
    </w:lvl>
    <w:lvl w:ilvl="2" w:tentative="0">
      <w:start w:val="1"/>
      <w:numFmt w:val="decimal"/>
      <w:pStyle w:val="91"/>
      <w:suff w:val="nothing"/>
      <w:lvlText w:val="%1%2.%3　"/>
      <w:lvlJc w:val="left"/>
      <w:pPr>
        <w:ind w:left="0" w:firstLine="0"/>
      </w:pPr>
      <w:rPr>
        <w:rFonts w:hint="eastAsia" w:ascii="黑体" w:hAnsi="Times New Roman" w:eastAsia="黑体"/>
        <w:b w:val="0"/>
        <w:i w:val="0"/>
        <w:sz w:val="21"/>
      </w:rPr>
    </w:lvl>
    <w:lvl w:ilvl="3" w:tentative="0">
      <w:start w:val="1"/>
      <w:numFmt w:val="decimal"/>
      <w:pStyle w:val="87"/>
      <w:suff w:val="nothing"/>
      <w:lvlText w:val="%1%2.%3.%4　"/>
      <w:lvlJc w:val="left"/>
      <w:pPr>
        <w:ind w:left="0" w:firstLine="0"/>
      </w:pPr>
      <w:rPr>
        <w:rFonts w:hint="eastAsia" w:ascii="黑体" w:hAnsi="Times New Roman" w:eastAsia="黑体"/>
        <w:b w:val="0"/>
        <w:i w:val="0"/>
        <w:sz w:val="21"/>
      </w:rPr>
    </w:lvl>
    <w:lvl w:ilvl="4" w:tentative="0">
      <w:start w:val="1"/>
      <w:numFmt w:val="decimal"/>
      <w:pStyle w:val="88"/>
      <w:suff w:val="nothing"/>
      <w:lvlText w:val="%1%2.%3.%4.%5　"/>
      <w:lvlJc w:val="left"/>
      <w:pPr>
        <w:ind w:left="0" w:firstLine="0"/>
      </w:pPr>
      <w:rPr>
        <w:rFonts w:hint="eastAsia" w:ascii="黑体" w:hAnsi="Times New Roman" w:eastAsia="黑体"/>
        <w:b w:val="0"/>
        <w:i w:val="0"/>
        <w:sz w:val="21"/>
      </w:rPr>
    </w:lvl>
    <w:lvl w:ilvl="5" w:tentative="0">
      <w:start w:val="1"/>
      <w:numFmt w:val="decimal"/>
      <w:pStyle w:val="89"/>
      <w:suff w:val="nothing"/>
      <w:lvlText w:val="%1%2.%3.%4.%5.%6　"/>
      <w:lvlJc w:val="left"/>
      <w:pPr>
        <w:ind w:left="0" w:firstLine="0"/>
      </w:pPr>
      <w:rPr>
        <w:rFonts w:hint="eastAsia" w:ascii="黑体" w:hAnsi="Times New Roman" w:eastAsia="黑体"/>
        <w:b w:val="0"/>
        <w:i w:val="0"/>
        <w:sz w:val="21"/>
      </w:rPr>
    </w:lvl>
    <w:lvl w:ilvl="6" w:tentative="0">
      <w:start w:val="1"/>
      <w:numFmt w:val="decimal"/>
      <w:pStyle w:val="9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2D441B1C"/>
    <w:multiLevelType w:val="singleLevel"/>
    <w:tmpl w:val="2D441B1C"/>
    <w:lvl w:ilvl="0" w:tentative="0">
      <w:start w:val="6"/>
      <w:numFmt w:val="chineseCounting"/>
      <w:suff w:val="nothing"/>
      <w:lvlText w:val="%1、"/>
      <w:lvlJc w:val="left"/>
      <w:rPr>
        <w:rFonts w:hint="eastAsia"/>
      </w:rPr>
    </w:lvl>
  </w:abstractNum>
  <w:abstractNum w:abstractNumId="8">
    <w:nsid w:val="2FCF432E"/>
    <w:multiLevelType w:val="singleLevel"/>
    <w:tmpl w:val="2FCF432E"/>
    <w:lvl w:ilvl="0" w:tentative="0">
      <w:start w:val="3"/>
      <w:numFmt w:val="chineseCounting"/>
      <w:suff w:val="nothing"/>
      <w:lvlText w:val="%1、"/>
      <w:lvlJc w:val="left"/>
      <w:rPr>
        <w:rFonts w:hint="eastAsia"/>
      </w:rPr>
    </w:lvl>
  </w:abstractNum>
  <w:abstractNum w:abstractNumId="9">
    <w:nsid w:val="3A2866F6"/>
    <w:multiLevelType w:val="singleLevel"/>
    <w:tmpl w:val="3A2866F6"/>
    <w:lvl w:ilvl="0" w:tentative="0">
      <w:start w:val="1"/>
      <w:numFmt w:val="chineseCounting"/>
      <w:suff w:val="nothing"/>
      <w:lvlText w:val="（%1）"/>
      <w:lvlJc w:val="left"/>
      <w:rPr>
        <w:rFonts w:hint="eastAsia"/>
      </w:rPr>
    </w:lvl>
  </w:abstractNum>
  <w:abstractNum w:abstractNumId="10">
    <w:nsid w:val="3D24F3D6"/>
    <w:multiLevelType w:val="singleLevel"/>
    <w:tmpl w:val="3D24F3D6"/>
    <w:lvl w:ilvl="0" w:tentative="0">
      <w:start w:val="2"/>
      <w:numFmt w:val="decimal"/>
      <w:lvlText w:val="(%1)"/>
      <w:lvlJc w:val="left"/>
      <w:pPr>
        <w:tabs>
          <w:tab w:val="left" w:pos="312"/>
        </w:tabs>
      </w:pPr>
    </w:lvl>
  </w:abstractNum>
  <w:abstractNum w:abstractNumId="11">
    <w:nsid w:val="56ED0D8D"/>
    <w:multiLevelType w:val="singleLevel"/>
    <w:tmpl w:val="56ED0D8D"/>
    <w:lvl w:ilvl="0" w:tentative="0">
      <w:start w:val="1"/>
      <w:numFmt w:val="bullet"/>
      <w:pStyle w:val="151"/>
      <w:lvlText w:val=""/>
      <w:lvlJc w:val="left"/>
      <w:pPr>
        <w:tabs>
          <w:tab w:val="left" w:pos="2174"/>
        </w:tabs>
        <w:ind w:left="2155" w:hanging="341"/>
      </w:pPr>
      <w:rPr>
        <w:rFonts w:hint="default" w:ascii="Wingdings" w:hAnsi="Wingdings" w:eastAsia="文鼎中隶简"/>
        <w:sz w:val="15"/>
      </w:rPr>
    </w:lvl>
  </w:abstractNum>
  <w:abstractNum w:abstractNumId="12">
    <w:nsid w:val="674251A5"/>
    <w:multiLevelType w:val="singleLevel"/>
    <w:tmpl w:val="674251A5"/>
    <w:lvl w:ilvl="0" w:tentative="0">
      <w:start w:val="4"/>
      <w:numFmt w:val="decimal"/>
      <w:lvlText w:val="%1."/>
      <w:lvlJc w:val="left"/>
      <w:pPr>
        <w:tabs>
          <w:tab w:val="left" w:pos="312"/>
        </w:tabs>
      </w:pPr>
    </w:lvl>
  </w:abstractNum>
  <w:abstractNum w:abstractNumId="13">
    <w:nsid w:val="677128B0"/>
    <w:multiLevelType w:val="multilevel"/>
    <w:tmpl w:val="677128B0"/>
    <w:lvl w:ilvl="0" w:tentative="0">
      <w:start w:val="2"/>
      <w:numFmt w:val="decimal"/>
      <w:lvlText w:val="第%1章"/>
      <w:lvlJc w:val="left"/>
      <w:pPr>
        <w:tabs>
          <w:tab w:val="left" w:pos="1440"/>
        </w:tabs>
        <w:ind w:left="432" w:hanging="432"/>
      </w:pPr>
      <w:rPr>
        <w:rFonts w:hint="eastAsia" w:ascii="宋体" w:eastAsia="宋体"/>
        <w:b/>
        <w:i w:val="0"/>
        <w:spacing w:val="20"/>
        <w:sz w:val="44"/>
      </w:rPr>
    </w:lvl>
    <w:lvl w:ilvl="1" w:tentative="0">
      <w:start w:val="1"/>
      <w:numFmt w:val="decimal"/>
      <w:lvlText w:val="%1.%2"/>
      <w:lvlJc w:val="left"/>
      <w:pPr>
        <w:tabs>
          <w:tab w:val="left" w:pos="720"/>
        </w:tabs>
        <w:ind w:left="431" w:hanging="431"/>
      </w:pPr>
      <w:rPr>
        <w:rFonts w:hint="eastAsia" w:ascii="宋体" w:eastAsia="宋体"/>
        <w:b/>
        <w:i w:val="0"/>
        <w:spacing w:val="10"/>
        <w:sz w:val="30"/>
      </w:rPr>
    </w:lvl>
    <w:lvl w:ilvl="2" w:tentative="0">
      <w:start w:val="1"/>
      <w:numFmt w:val="decimal"/>
      <w:lvlText w:val="%1.%2.%3"/>
      <w:lvlJc w:val="left"/>
      <w:pPr>
        <w:tabs>
          <w:tab w:val="left" w:pos="1080"/>
        </w:tabs>
        <w:ind w:left="431" w:hanging="431"/>
      </w:pPr>
      <w:rPr>
        <w:rFonts w:hint="eastAsia" w:ascii="宋体" w:eastAsia="宋体"/>
        <w:b/>
        <w:i w:val="0"/>
        <w:spacing w:val="10"/>
        <w:sz w:val="28"/>
      </w:rPr>
    </w:lvl>
    <w:lvl w:ilvl="3" w:tentative="0">
      <w:start w:val="1"/>
      <w:numFmt w:val="decimal"/>
      <w:lvlText w:val="%1.%2.%3.%4"/>
      <w:lvlJc w:val="left"/>
      <w:pPr>
        <w:tabs>
          <w:tab w:val="left" w:pos="864"/>
        </w:tabs>
        <w:ind w:left="864" w:hanging="864"/>
      </w:pPr>
      <w:rPr>
        <w:rFonts w:hint="eastAsia" w:ascii="宋体" w:eastAsia="宋体"/>
        <w:b/>
        <w:i w:val="0"/>
        <w:sz w:val="21"/>
      </w:rPr>
    </w:lvl>
    <w:lvl w:ilvl="4" w:tentative="0">
      <w:start w:val="1"/>
      <w:numFmt w:val="decimal"/>
      <w:lvlText w:val="%1.%2.%3.%4.%5"/>
      <w:lvlJc w:val="left"/>
      <w:pPr>
        <w:tabs>
          <w:tab w:val="left" w:pos="1440"/>
        </w:tabs>
        <w:ind w:left="1008" w:hanging="1008"/>
      </w:pPr>
      <w:rPr>
        <w:rFonts w:hint="eastAsia" w:ascii="宋体" w:eastAsia="宋体"/>
        <w:b/>
        <w:i w:val="0"/>
        <w:sz w:val="21"/>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2"/>
      <w:lvlText w:val="%1.%2.%3.%4.%5.%6.%7.%8.%9"/>
      <w:lvlJc w:val="left"/>
      <w:pPr>
        <w:tabs>
          <w:tab w:val="left" w:pos="1584"/>
        </w:tabs>
        <w:ind w:left="1584" w:hanging="1584"/>
      </w:pPr>
      <w:rPr>
        <w:rFonts w:hint="eastAsia"/>
      </w:rPr>
    </w:lvl>
  </w:abstractNum>
  <w:abstractNum w:abstractNumId="14">
    <w:nsid w:val="68E1C197"/>
    <w:multiLevelType w:val="singleLevel"/>
    <w:tmpl w:val="68E1C197"/>
    <w:lvl w:ilvl="0" w:tentative="0">
      <w:start w:val="1"/>
      <w:numFmt w:val="chineseCounting"/>
      <w:suff w:val="nothing"/>
      <w:lvlText w:val="%1、"/>
      <w:lvlJc w:val="left"/>
      <w:rPr>
        <w:rFonts w:hint="eastAsia"/>
      </w:rPr>
    </w:lvl>
  </w:abstractNum>
  <w:abstractNum w:abstractNumId="15">
    <w:nsid w:val="68F729AC"/>
    <w:multiLevelType w:val="multilevel"/>
    <w:tmpl w:val="68F729AC"/>
    <w:lvl w:ilvl="0" w:tentative="0">
      <w:start w:val="1"/>
      <w:numFmt w:val="bullet"/>
      <w:pStyle w:val="187"/>
      <w:lvlText w:val=""/>
      <w:lvlJc w:val="left"/>
      <w:pPr>
        <w:tabs>
          <w:tab w:val="left" w:pos="1754"/>
        </w:tabs>
        <w:ind w:left="1754" w:hanging="420"/>
      </w:pPr>
      <w:rPr>
        <w:rFonts w:hint="default" w:ascii="Wingdings" w:hAnsi="Wingdings"/>
        <w:color w:val="auto"/>
      </w:rPr>
    </w:lvl>
    <w:lvl w:ilvl="1" w:tentative="0">
      <w:start w:val="1"/>
      <w:numFmt w:val="decimal"/>
      <w:lvlText w:val="%2)"/>
      <w:lvlJc w:val="left"/>
      <w:pPr>
        <w:tabs>
          <w:tab w:val="left" w:pos="1064"/>
        </w:tabs>
        <w:ind w:left="1064" w:hanging="360"/>
      </w:pPr>
      <w:rPr>
        <w:rFonts w:hint="eastAsia"/>
        <w:b w:val="0"/>
        <w:i w:val="0"/>
        <w:color w:val="auto"/>
        <w:sz w:val="21"/>
        <w:szCs w:val="21"/>
      </w:rPr>
    </w:lvl>
    <w:lvl w:ilvl="2" w:tentative="0">
      <w:start w:val="1"/>
      <w:numFmt w:val="decimal"/>
      <w:lvlText w:val="（%3）"/>
      <w:lvlJc w:val="left"/>
      <w:pPr>
        <w:tabs>
          <w:tab w:val="left" w:pos="1844"/>
        </w:tabs>
        <w:ind w:left="1844" w:hanging="720"/>
      </w:pPr>
      <w:rPr>
        <w:rFonts w:hint="default"/>
      </w:rPr>
    </w:lvl>
    <w:lvl w:ilvl="3" w:tentative="0">
      <w:start w:val="1"/>
      <w:numFmt w:val="decimal"/>
      <w:lvlText w:val="%4、"/>
      <w:lvlJc w:val="left"/>
      <w:pPr>
        <w:tabs>
          <w:tab w:val="left" w:pos="1904"/>
        </w:tabs>
        <w:ind w:left="1904" w:hanging="360"/>
      </w:pPr>
      <w:rPr>
        <w:rFonts w:hint="default"/>
      </w:rPr>
    </w:lvl>
    <w:lvl w:ilvl="4" w:tentative="0">
      <w:start w:val="1"/>
      <w:numFmt w:val="decimal"/>
      <w:lvlText w:val="%5."/>
      <w:lvlJc w:val="left"/>
      <w:pPr>
        <w:tabs>
          <w:tab w:val="left" w:pos="2324"/>
        </w:tabs>
        <w:ind w:left="2324" w:hanging="360"/>
      </w:pPr>
      <w:rPr>
        <w:rFonts w:hint="default"/>
      </w:rPr>
    </w:lvl>
    <w:lvl w:ilvl="5" w:tentative="0">
      <w:start w:val="2"/>
      <w:numFmt w:val="japaneseCounting"/>
      <w:lvlText w:val="第%6章"/>
      <w:lvlJc w:val="left"/>
      <w:pPr>
        <w:tabs>
          <w:tab w:val="left" w:pos="3824"/>
        </w:tabs>
        <w:ind w:left="3824" w:hanging="1440"/>
      </w:pPr>
      <w:rPr>
        <w:rFonts w:hint="eastAsia"/>
      </w:rPr>
    </w:lvl>
    <w:lvl w:ilvl="6" w:tentative="0">
      <w:start w:val="1"/>
      <w:numFmt w:val="bullet"/>
      <w:lvlText w:val=""/>
      <w:lvlJc w:val="left"/>
      <w:pPr>
        <w:tabs>
          <w:tab w:val="left" w:pos="3224"/>
        </w:tabs>
        <w:ind w:left="3224" w:hanging="420"/>
      </w:pPr>
      <w:rPr>
        <w:rFonts w:hint="default" w:ascii="Wingdings" w:hAnsi="Wingdings"/>
        <w:color w:val="auto"/>
      </w:rPr>
    </w:lvl>
    <w:lvl w:ilvl="7" w:tentative="0">
      <w:start w:val="1"/>
      <w:numFmt w:val="bullet"/>
      <w:lvlText w:val=""/>
      <w:lvlJc w:val="left"/>
      <w:pPr>
        <w:tabs>
          <w:tab w:val="left" w:pos="3644"/>
        </w:tabs>
        <w:ind w:left="3644" w:hanging="420"/>
      </w:pPr>
      <w:rPr>
        <w:rFonts w:hint="default" w:ascii="Wingdings" w:hAnsi="Wingdings"/>
      </w:rPr>
    </w:lvl>
    <w:lvl w:ilvl="8" w:tentative="0">
      <w:start w:val="1"/>
      <w:numFmt w:val="bullet"/>
      <w:lvlText w:val=""/>
      <w:lvlJc w:val="left"/>
      <w:pPr>
        <w:tabs>
          <w:tab w:val="left" w:pos="4064"/>
        </w:tabs>
        <w:ind w:left="4064" w:hanging="420"/>
      </w:pPr>
      <w:rPr>
        <w:rFonts w:hint="default" w:ascii="Wingdings" w:hAnsi="Wingdings"/>
      </w:rPr>
    </w:lvl>
  </w:abstractNum>
  <w:abstractNum w:abstractNumId="16">
    <w:nsid w:val="7B577B19"/>
    <w:multiLevelType w:val="singleLevel"/>
    <w:tmpl w:val="7B577B19"/>
    <w:lvl w:ilvl="0" w:tentative="0">
      <w:start w:val="7"/>
      <w:numFmt w:val="chineseCounting"/>
      <w:suff w:val="space"/>
      <w:lvlText w:val="第%1章"/>
      <w:lvlJc w:val="left"/>
      <w:rPr>
        <w:rFonts w:hint="eastAsia"/>
      </w:rPr>
    </w:lvl>
  </w:abstractNum>
  <w:num w:numId="1">
    <w:abstractNumId w:val="13"/>
  </w:num>
  <w:num w:numId="2">
    <w:abstractNumId w:val="6"/>
  </w:num>
  <w:num w:numId="3">
    <w:abstractNumId w:val="11"/>
  </w:num>
  <w:num w:numId="4">
    <w:abstractNumId w:val="5"/>
  </w:num>
  <w:num w:numId="5">
    <w:abstractNumId w:val="15"/>
  </w:num>
  <w:num w:numId="6">
    <w:abstractNumId w:val="3"/>
  </w:num>
  <w:num w:numId="7">
    <w:abstractNumId w:val="4"/>
  </w:num>
  <w:num w:numId="8">
    <w:abstractNumId w:val="10"/>
  </w:num>
  <w:num w:numId="9">
    <w:abstractNumId w:val="2"/>
  </w:num>
  <w:num w:numId="10">
    <w:abstractNumId w:val="0"/>
  </w:num>
  <w:num w:numId="11">
    <w:abstractNumId w:val="12"/>
  </w:num>
  <w:num w:numId="12">
    <w:abstractNumId w:val="1"/>
  </w:num>
  <w:num w:numId="13">
    <w:abstractNumId w:val="9"/>
  </w:num>
  <w:num w:numId="14">
    <w:abstractNumId w:val="16"/>
  </w:num>
  <w:num w:numId="15">
    <w:abstractNumId w:val="14"/>
  </w:num>
  <w:num w:numId="16">
    <w:abstractNumId w:val="8"/>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trackRevisions w:val="1"/>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405484"/>
    <w:rsid w:val="00006254"/>
    <w:rsid w:val="00006F82"/>
    <w:rsid w:val="00011B4D"/>
    <w:rsid w:val="00012DC7"/>
    <w:rsid w:val="00014737"/>
    <w:rsid w:val="00015125"/>
    <w:rsid w:val="00015BEC"/>
    <w:rsid w:val="00015DE7"/>
    <w:rsid w:val="00022DB1"/>
    <w:rsid w:val="0002495C"/>
    <w:rsid w:val="000302DD"/>
    <w:rsid w:val="00032434"/>
    <w:rsid w:val="00034B65"/>
    <w:rsid w:val="0004161E"/>
    <w:rsid w:val="000419A1"/>
    <w:rsid w:val="0004737F"/>
    <w:rsid w:val="00055934"/>
    <w:rsid w:val="00056D7C"/>
    <w:rsid w:val="00063A2E"/>
    <w:rsid w:val="000647D6"/>
    <w:rsid w:val="00072AF5"/>
    <w:rsid w:val="0007573B"/>
    <w:rsid w:val="00082B73"/>
    <w:rsid w:val="00083076"/>
    <w:rsid w:val="00093981"/>
    <w:rsid w:val="00095CD9"/>
    <w:rsid w:val="000A7C1D"/>
    <w:rsid w:val="000A7DE1"/>
    <w:rsid w:val="000B417C"/>
    <w:rsid w:val="000C27B8"/>
    <w:rsid w:val="000C2BE9"/>
    <w:rsid w:val="000C3F52"/>
    <w:rsid w:val="000C761C"/>
    <w:rsid w:val="000D717F"/>
    <w:rsid w:val="000E1895"/>
    <w:rsid w:val="000F1181"/>
    <w:rsid w:val="000F16B2"/>
    <w:rsid w:val="000F3D74"/>
    <w:rsid w:val="00101D97"/>
    <w:rsid w:val="0010620E"/>
    <w:rsid w:val="00115CEF"/>
    <w:rsid w:val="0012549A"/>
    <w:rsid w:val="00141E90"/>
    <w:rsid w:val="00146B7C"/>
    <w:rsid w:val="00146FC8"/>
    <w:rsid w:val="00150E99"/>
    <w:rsid w:val="00152F52"/>
    <w:rsid w:val="00155F93"/>
    <w:rsid w:val="00160159"/>
    <w:rsid w:val="0016189A"/>
    <w:rsid w:val="001712CD"/>
    <w:rsid w:val="001723CD"/>
    <w:rsid w:val="001732EC"/>
    <w:rsid w:val="00173992"/>
    <w:rsid w:val="00177E42"/>
    <w:rsid w:val="00180EAC"/>
    <w:rsid w:val="00184E33"/>
    <w:rsid w:val="00185B8B"/>
    <w:rsid w:val="00192507"/>
    <w:rsid w:val="001968B2"/>
    <w:rsid w:val="00197935"/>
    <w:rsid w:val="001A4320"/>
    <w:rsid w:val="001B555C"/>
    <w:rsid w:val="001B5D31"/>
    <w:rsid w:val="001C00A4"/>
    <w:rsid w:val="001C04BF"/>
    <w:rsid w:val="001C07F2"/>
    <w:rsid w:val="001C0E5B"/>
    <w:rsid w:val="001C1196"/>
    <w:rsid w:val="001C3F57"/>
    <w:rsid w:val="001C6D74"/>
    <w:rsid w:val="001C7F3A"/>
    <w:rsid w:val="001D0644"/>
    <w:rsid w:val="001D4108"/>
    <w:rsid w:val="001D74EE"/>
    <w:rsid w:val="001E4A2A"/>
    <w:rsid w:val="001F4A5E"/>
    <w:rsid w:val="001F68C8"/>
    <w:rsid w:val="0020098C"/>
    <w:rsid w:val="00200FDF"/>
    <w:rsid w:val="0020100A"/>
    <w:rsid w:val="002011CF"/>
    <w:rsid w:val="0020331C"/>
    <w:rsid w:val="00204785"/>
    <w:rsid w:val="00221D8B"/>
    <w:rsid w:val="00236322"/>
    <w:rsid w:val="00236A7B"/>
    <w:rsid w:val="00250463"/>
    <w:rsid w:val="00257A59"/>
    <w:rsid w:val="0026194E"/>
    <w:rsid w:val="00261AFC"/>
    <w:rsid w:val="00270B67"/>
    <w:rsid w:val="00282B3F"/>
    <w:rsid w:val="00292C86"/>
    <w:rsid w:val="002937CE"/>
    <w:rsid w:val="0029598D"/>
    <w:rsid w:val="00297DDA"/>
    <w:rsid w:val="002A030F"/>
    <w:rsid w:val="002B5CF3"/>
    <w:rsid w:val="002C01FB"/>
    <w:rsid w:val="002D641A"/>
    <w:rsid w:val="002E1389"/>
    <w:rsid w:val="002E3998"/>
    <w:rsid w:val="002E71A1"/>
    <w:rsid w:val="002F48F0"/>
    <w:rsid w:val="002F655E"/>
    <w:rsid w:val="00313C8F"/>
    <w:rsid w:val="00314251"/>
    <w:rsid w:val="0031600D"/>
    <w:rsid w:val="003176D3"/>
    <w:rsid w:val="0032503A"/>
    <w:rsid w:val="00325C75"/>
    <w:rsid w:val="00331900"/>
    <w:rsid w:val="0034162A"/>
    <w:rsid w:val="00341DAA"/>
    <w:rsid w:val="0034786B"/>
    <w:rsid w:val="0035018F"/>
    <w:rsid w:val="003530BA"/>
    <w:rsid w:val="00362B0D"/>
    <w:rsid w:val="003636CE"/>
    <w:rsid w:val="003711C7"/>
    <w:rsid w:val="00376D85"/>
    <w:rsid w:val="00377B63"/>
    <w:rsid w:val="0038177B"/>
    <w:rsid w:val="00384C44"/>
    <w:rsid w:val="003870B3"/>
    <w:rsid w:val="00392102"/>
    <w:rsid w:val="003932D3"/>
    <w:rsid w:val="00393CD9"/>
    <w:rsid w:val="003A458D"/>
    <w:rsid w:val="003B2D5F"/>
    <w:rsid w:val="003B4803"/>
    <w:rsid w:val="003B5D5E"/>
    <w:rsid w:val="003B6C25"/>
    <w:rsid w:val="003C255C"/>
    <w:rsid w:val="003C3B2E"/>
    <w:rsid w:val="003C6F45"/>
    <w:rsid w:val="003D1A68"/>
    <w:rsid w:val="003D7824"/>
    <w:rsid w:val="003E481C"/>
    <w:rsid w:val="003F0C45"/>
    <w:rsid w:val="003F3F54"/>
    <w:rsid w:val="00401A07"/>
    <w:rsid w:val="00405484"/>
    <w:rsid w:val="004064D7"/>
    <w:rsid w:val="00410051"/>
    <w:rsid w:val="0041028A"/>
    <w:rsid w:val="00415A6A"/>
    <w:rsid w:val="0042415F"/>
    <w:rsid w:val="00426A3A"/>
    <w:rsid w:val="004360E3"/>
    <w:rsid w:val="00437C85"/>
    <w:rsid w:val="004422E2"/>
    <w:rsid w:val="00443EEC"/>
    <w:rsid w:val="0044406C"/>
    <w:rsid w:val="00446430"/>
    <w:rsid w:val="00451ECC"/>
    <w:rsid w:val="004645E0"/>
    <w:rsid w:val="00470934"/>
    <w:rsid w:val="00483800"/>
    <w:rsid w:val="004840A5"/>
    <w:rsid w:val="00484922"/>
    <w:rsid w:val="00485F3C"/>
    <w:rsid w:val="00493406"/>
    <w:rsid w:val="00494224"/>
    <w:rsid w:val="00494F63"/>
    <w:rsid w:val="004A039E"/>
    <w:rsid w:val="004A3EBA"/>
    <w:rsid w:val="004A5B45"/>
    <w:rsid w:val="004B51D8"/>
    <w:rsid w:val="004B75F0"/>
    <w:rsid w:val="004E5785"/>
    <w:rsid w:val="004F7C6D"/>
    <w:rsid w:val="004F7F6C"/>
    <w:rsid w:val="00506DF5"/>
    <w:rsid w:val="005134AA"/>
    <w:rsid w:val="00517B51"/>
    <w:rsid w:val="005204B9"/>
    <w:rsid w:val="00525AEB"/>
    <w:rsid w:val="005262DC"/>
    <w:rsid w:val="00526DE7"/>
    <w:rsid w:val="005278FF"/>
    <w:rsid w:val="005303B2"/>
    <w:rsid w:val="00532AA8"/>
    <w:rsid w:val="00555D01"/>
    <w:rsid w:val="0055734A"/>
    <w:rsid w:val="005600B0"/>
    <w:rsid w:val="00566475"/>
    <w:rsid w:val="005666FA"/>
    <w:rsid w:val="00581D30"/>
    <w:rsid w:val="005869C1"/>
    <w:rsid w:val="005A174D"/>
    <w:rsid w:val="005A2993"/>
    <w:rsid w:val="005A2A29"/>
    <w:rsid w:val="005B65E4"/>
    <w:rsid w:val="005D3918"/>
    <w:rsid w:val="005D5DC9"/>
    <w:rsid w:val="005D673B"/>
    <w:rsid w:val="005D6876"/>
    <w:rsid w:val="005E6188"/>
    <w:rsid w:val="0060004D"/>
    <w:rsid w:val="00613A0B"/>
    <w:rsid w:val="00624689"/>
    <w:rsid w:val="00636290"/>
    <w:rsid w:val="00641BAD"/>
    <w:rsid w:val="006453D6"/>
    <w:rsid w:val="006476B7"/>
    <w:rsid w:val="0064794F"/>
    <w:rsid w:val="00651129"/>
    <w:rsid w:val="00660304"/>
    <w:rsid w:val="00660931"/>
    <w:rsid w:val="0066191F"/>
    <w:rsid w:val="0066260D"/>
    <w:rsid w:val="00662A86"/>
    <w:rsid w:val="00672C79"/>
    <w:rsid w:val="00672C8A"/>
    <w:rsid w:val="0068658F"/>
    <w:rsid w:val="00696F9E"/>
    <w:rsid w:val="006A597E"/>
    <w:rsid w:val="006C33B6"/>
    <w:rsid w:val="006C4133"/>
    <w:rsid w:val="006D086C"/>
    <w:rsid w:val="006D1392"/>
    <w:rsid w:val="006D22FD"/>
    <w:rsid w:val="006D32ED"/>
    <w:rsid w:val="006D4009"/>
    <w:rsid w:val="006F47DE"/>
    <w:rsid w:val="00710233"/>
    <w:rsid w:val="007147DB"/>
    <w:rsid w:val="00721E7B"/>
    <w:rsid w:val="007227C2"/>
    <w:rsid w:val="007344E1"/>
    <w:rsid w:val="007358B8"/>
    <w:rsid w:val="0074185A"/>
    <w:rsid w:val="007500D1"/>
    <w:rsid w:val="00756931"/>
    <w:rsid w:val="00762279"/>
    <w:rsid w:val="00767651"/>
    <w:rsid w:val="007700A5"/>
    <w:rsid w:val="00771AF4"/>
    <w:rsid w:val="00771E95"/>
    <w:rsid w:val="0078209B"/>
    <w:rsid w:val="00785664"/>
    <w:rsid w:val="007875CF"/>
    <w:rsid w:val="00792C98"/>
    <w:rsid w:val="00793A10"/>
    <w:rsid w:val="007949B1"/>
    <w:rsid w:val="0079636F"/>
    <w:rsid w:val="007978F4"/>
    <w:rsid w:val="007A0996"/>
    <w:rsid w:val="007A16B9"/>
    <w:rsid w:val="007A2A9D"/>
    <w:rsid w:val="007A6600"/>
    <w:rsid w:val="007A667C"/>
    <w:rsid w:val="007B23C8"/>
    <w:rsid w:val="007B2879"/>
    <w:rsid w:val="007B41CD"/>
    <w:rsid w:val="007B652A"/>
    <w:rsid w:val="007C2944"/>
    <w:rsid w:val="007C47F4"/>
    <w:rsid w:val="007C4FBB"/>
    <w:rsid w:val="007C7491"/>
    <w:rsid w:val="007C7BDE"/>
    <w:rsid w:val="007D3CC0"/>
    <w:rsid w:val="007D7F90"/>
    <w:rsid w:val="007E0AD6"/>
    <w:rsid w:val="007E12C0"/>
    <w:rsid w:val="007E6DB5"/>
    <w:rsid w:val="007F034B"/>
    <w:rsid w:val="007F0AFE"/>
    <w:rsid w:val="0080605F"/>
    <w:rsid w:val="00827A26"/>
    <w:rsid w:val="00827AEE"/>
    <w:rsid w:val="0083117A"/>
    <w:rsid w:val="008368CB"/>
    <w:rsid w:val="008474EF"/>
    <w:rsid w:val="00851871"/>
    <w:rsid w:val="00851A40"/>
    <w:rsid w:val="008608BF"/>
    <w:rsid w:val="008803FC"/>
    <w:rsid w:val="008836AB"/>
    <w:rsid w:val="0088701E"/>
    <w:rsid w:val="00895A1A"/>
    <w:rsid w:val="00896ADC"/>
    <w:rsid w:val="008A2708"/>
    <w:rsid w:val="008A2FA4"/>
    <w:rsid w:val="008B1956"/>
    <w:rsid w:val="008B301B"/>
    <w:rsid w:val="008B78D2"/>
    <w:rsid w:val="008C591A"/>
    <w:rsid w:val="008C7DC8"/>
    <w:rsid w:val="008D2491"/>
    <w:rsid w:val="008D306C"/>
    <w:rsid w:val="008D32A3"/>
    <w:rsid w:val="008D5E4C"/>
    <w:rsid w:val="008D7DA0"/>
    <w:rsid w:val="008E4230"/>
    <w:rsid w:val="008E4ADD"/>
    <w:rsid w:val="008F1597"/>
    <w:rsid w:val="008F176C"/>
    <w:rsid w:val="008F2807"/>
    <w:rsid w:val="008F5E39"/>
    <w:rsid w:val="008F73B8"/>
    <w:rsid w:val="008F7D70"/>
    <w:rsid w:val="0090028F"/>
    <w:rsid w:val="00900D26"/>
    <w:rsid w:val="009016BA"/>
    <w:rsid w:val="0090604A"/>
    <w:rsid w:val="00906330"/>
    <w:rsid w:val="0091476C"/>
    <w:rsid w:val="0091482F"/>
    <w:rsid w:val="009204E9"/>
    <w:rsid w:val="00925C63"/>
    <w:rsid w:val="009323A5"/>
    <w:rsid w:val="009363D6"/>
    <w:rsid w:val="00944612"/>
    <w:rsid w:val="0095101B"/>
    <w:rsid w:val="009546EE"/>
    <w:rsid w:val="00960D97"/>
    <w:rsid w:val="00962B9D"/>
    <w:rsid w:val="00980238"/>
    <w:rsid w:val="00983C74"/>
    <w:rsid w:val="00985D82"/>
    <w:rsid w:val="0098639B"/>
    <w:rsid w:val="00991382"/>
    <w:rsid w:val="0099169F"/>
    <w:rsid w:val="0099212C"/>
    <w:rsid w:val="009A1CC8"/>
    <w:rsid w:val="009C1D33"/>
    <w:rsid w:val="009D0A86"/>
    <w:rsid w:val="009D4A22"/>
    <w:rsid w:val="009E0B23"/>
    <w:rsid w:val="009E1006"/>
    <w:rsid w:val="009E2DCB"/>
    <w:rsid w:val="009E3874"/>
    <w:rsid w:val="009F7A2D"/>
    <w:rsid w:val="00A1416F"/>
    <w:rsid w:val="00A2485C"/>
    <w:rsid w:val="00A32C92"/>
    <w:rsid w:val="00A3459A"/>
    <w:rsid w:val="00A358FD"/>
    <w:rsid w:val="00A42578"/>
    <w:rsid w:val="00A45145"/>
    <w:rsid w:val="00A544DF"/>
    <w:rsid w:val="00A55919"/>
    <w:rsid w:val="00A569C8"/>
    <w:rsid w:val="00A575C3"/>
    <w:rsid w:val="00A57BDF"/>
    <w:rsid w:val="00A62281"/>
    <w:rsid w:val="00A8571C"/>
    <w:rsid w:val="00A85E09"/>
    <w:rsid w:val="00A86DAF"/>
    <w:rsid w:val="00A95003"/>
    <w:rsid w:val="00A959C9"/>
    <w:rsid w:val="00AA3CC5"/>
    <w:rsid w:val="00AA5370"/>
    <w:rsid w:val="00AA58B7"/>
    <w:rsid w:val="00AB04E9"/>
    <w:rsid w:val="00AB4E23"/>
    <w:rsid w:val="00AB4F50"/>
    <w:rsid w:val="00AD35A9"/>
    <w:rsid w:val="00AE1014"/>
    <w:rsid w:val="00AF27E8"/>
    <w:rsid w:val="00AF7728"/>
    <w:rsid w:val="00B005B0"/>
    <w:rsid w:val="00B145CE"/>
    <w:rsid w:val="00B166D3"/>
    <w:rsid w:val="00B20BA0"/>
    <w:rsid w:val="00B350D0"/>
    <w:rsid w:val="00B4131A"/>
    <w:rsid w:val="00B44557"/>
    <w:rsid w:val="00B46FE5"/>
    <w:rsid w:val="00B531AA"/>
    <w:rsid w:val="00B54DAF"/>
    <w:rsid w:val="00B563A3"/>
    <w:rsid w:val="00B56E88"/>
    <w:rsid w:val="00B56FD4"/>
    <w:rsid w:val="00B62EF4"/>
    <w:rsid w:val="00B63784"/>
    <w:rsid w:val="00B652D0"/>
    <w:rsid w:val="00B712F8"/>
    <w:rsid w:val="00B76683"/>
    <w:rsid w:val="00B76842"/>
    <w:rsid w:val="00B77763"/>
    <w:rsid w:val="00B82E7A"/>
    <w:rsid w:val="00B87D39"/>
    <w:rsid w:val="00B91C0D"/>
    <w:rsid w:val="00B92B03"/>
    <w:rsid w:val="00BA6CC1"/>
    <w:rsid w:val="00BB0B67"/>
    <w:rsid w:val="00BB2101"/>
    <w:rsid w:val="00BC5DBD"/>
    <w:rsid w:val="00BD4237"/>
    <w:rsid w:val="00BD4AFE"/>
    <w:rsid w:val="00BD64AE"/>
    <w:rsid w:val="00BE5CD3"/>
    <w:rsid w:val="00BE5E83"/>
    <w:rsid w:val="00BF71D0"/>
    <w:rsid w:val="00C00B88"/>
    <w:rsid w:val="00C06629"/>
    <w:rsid w:val="00C2736C"/>
    <w:rsid w:val="00C52BCC"/>
    <w:rsid w:val="00C556C9"/>
    <w:rsid w:val="00C61332"/>
    <w:rsid w:val="00C6282A"/>
    <w:rsid w:val="00C62F15"/>
    <w:rsid w:val="00C70150"/>
    <w:rsid w:val="00C70D81"/>
    <w:rsid w:val="00C74E8E"/>
    <w:rsid w:val="00C7546C"/>
    <w:rsid w:val="00C80BCB"/>
    <w:rsid w:val="00C839F2"/>
    <w:rsid w:val="00C84808"/>
    <w:rsid w:val="00C85609"/>
    <w:rsid w:val="00C859FF"/>
    <w:rsid w:val="00C90B49"/>
    <w:rsid w:val="00C94828"/>
    <w:rsid w:val="00C94DB2"/>
    <w:rsid w:val="00CA0E4A"/>
    <w:rsid w:val="00CA3E8B"/>
    <w:rsid w:val="00CB2731"/>
    <w:rsid w:val="00CB558B"/>
    <w:rsid w:val="00CB5F1F"/>
    <w:rsid w:val="00CB7E6E"/>
    <w:rsid w:val="00CC4063"/>
    <w:rsid w:val="00CC651D"/>
    <w:rsid w:val="00CD3ECE"/>
    <w:rsid w:val="00CD4059"/>
    <w:rsid w:val="00CD50BD"/>
    <w:rsid w:val="00CE1109"/>
    <w:rsid w:val="00CE38B2"/>
    <w:rsid w:val="00CF4D18"/>
    <w:rsid w:val="00CF7963"/>
    <w:rsid w:val="00D048ED"/>
    <w:rsid w:val="00D16150"/>
    <w:rsid w:val="00D17713"/>
    <w:rsid w:val="00D20222"/>
    <w:rsid w:val="00D21858"/>
    <w:rsid w:val="00D25568"/>
    <w:rsid w:val="00D27F0B"/>
    <w:rsid w:val="00D31F16"/>
    <w:rsid w:val="00D34ECE"/>
    <w:rsid w:val="00D3626B"/>
    <w:rsid w:val="00D36A54"/>
    <w:rsid w:val="00D36E80"/>
    <w:rsid w:val="00D42290"/>
    <w:rsid w:val="00D43651"/>
    <w:rsid w:val="00D47452"/>
    <w:rsid w:val="00D51F0C"/>
    <w:rsid w:val="00D54FC2"/>
    <w:rsid w:val="00D56F31"/>
    <w:rsid w:val="00D62A6B"/>
    <w:rsid w:val="00D6462D"/>
    <w:rsid w:val="00D6546B"/>
    <w:rsid w:val="00D6732E"/>
    <w:rsid w:val="00D70C41"/>
    <w:rsid w:val="00D740DB"/>
    <w:rsid w:val="00D75914"/>
    <w:rsid w:val="00D816B3"/>
    <w:rsid w:val="00D84E40"/>
    <w:rsid w:val="00D84F38"/>
    <w:rsid w:val="00D866B3"/>
    <w:rsid w:val="00D9654E"/>
    <w:rsid w:val="00DA3A27"/>
    <w:rsid w:val="00DA5B27"/>
    <w:rsid w:val="00DB0484"/>
    <w:rsid w:val="00DC48BA"/>
    <w:rsid w:val="00DD04AF"/>
    <w:rsid w:val="00DD72DB"/>
    <w:rsid w:val="00DD73E4"/>
    <w:rsid w:val="00DE2C30"/>
    <w:rsid w:val="00DE3691"/>
    <w:rsid w:val="00DE5418"/>
    <w:rsid w:val="00DF10AC"/>
    <w:rsid w:val="00DF45B8"/>
    <w:rsid w:val="00DF51B2"/>
    <w:rsid w:val="00DF5EA0"/>
    <w:rsid w:val="00DF6853"/>
    <w:rsid w:val="00E002A3"/>
    <w:rsid w:val="00E016CF"/>
    <w:rsid w:val="00E01A33"/>
    <w:rsid w:val="00E02F11"/>
    <w:rsid w:val="00E03902"/>
    <w:rsid w:val="00E11C29"/>
    <w:rsid w:val="00E12950"/>
    <w:rsid w:val="00E2078E"/>
    <w:rsid w:val="00E2181B"/>
    <w:rsid w:val="00E30485"/>
    <w:rsid w:val="00E41389"/>
    <w:rsid w:val="00E43CAD"/>
    <w:rsid w:val="00E457DB"/>
    <w:rsid w:val="00E50B9C"/>
    <w:rsid w:val="00E52F85"/>
    <w:rsid w:val="00E57196"/>
    <w:rsid w:val="00E6590E"/>
    <w:rsid w:val="00E66C4C"/>
    <w:rsid w:val="00E70070"/>
    <w:rsid w:val="00E7799F"/>
    <w:rsid w:val="00E8757E"/>
    <w:rsid w:val="00E96C95"/>
    <w:rsid w:val="00EA1C23"/>
    <w:rsid w:val="00EA2EB1"/>
    <w:rsid w:val="00EB0849"/>
    <w:rsid w:val="00EB5C83"/>
    <w:rsid w:val="00ED13FB"/>
    <w:rsid w:val="00ED20F8"/>
    <w:rsid w:val="00ED6761"/>
    <w:rsid w:val="00EE1DE8"/>
    <w:rsid w:val="00EE2825"/>
    <w:rsid w:val="00EE5F17"/>
    <w:rsid w:val="00EF185C"/>
    <w:rsid w:val="00EF2231"/>
    <w:rsid w:val="00EF2A63"/>
    <w:rsid w:val="00EF2E1D"/>
    <w:rsid w:val="00F02E5E"/>
    <w:rsid w:val="00F0339C"/>
    <w:rsid w:val="00F05ACB"/>
    <w:rsid w:val="00F14AF2"/>
    <w:rsid w:val="00F20AC8"/>
    <w:rsid w:val="00F21163"/>
    <w:rsid w:val="00F24EB5"/>
    <w:rsid w:val="00F26CF3"/>
    <w:rsid w:val="00F26E51"/>
    <w:rsid w:val="00F30D20"/>
    <w:rsid w:val="00F34149"/>
    <w:rsid w:val="00F449DA"/>
    <w:rsid w:val="00F47024"/>
    <w:rsid w:val="00F55677"/>
    <w:rsid w:val="00F67301"/>
    <w:rsid w:val="00F73DC7"/>
    <w:rsid w:val="00F87669"/>
    <w:rsid w:val="00F909A3"/>
    <w:rsid w:val="00F95125"/>
    <w:rsid w:val="00F97C4A"/>
    <w:rsid w:val="00FA1DFC"/>
    <w:rsid w:val="00FA6D09"/>
    <w:rsid w:val="00FB337C"/>
    <w:rsid w:val="00FB56BE"/>
    <w:rsid w:val="00FB795D"/>
    <w:rsid w:val="00FC176C"/>
    <w:rsid w:val="00FC59B9"/>
    <w:rsid w:val="00FC76F8"/>
    <w:rsid w:val="00FD3223"/>
    <w:rsid w:val="00FD4D74"/>
    <w:rsid w:val="00FD7B8C"/>
    <w:rsid w:val="00FD7EF6"/>
    <w:rsid w:val="00FE0708"/>
    <w:rsid w:val="00FE1275"/>
    <w:rsid w:val="00FE3347"/>
    <w:rsid w:val="00FE7501"/>
    <w:rsid w:val="00FF2046"/>
    <w:rsid w:val="00FF71F8"/>
    <w:rsid w:val="00FF72B7"/>
    <w:rsid w:val="03A32447"/>
    <w:rsid w:val="047E7523"/>
    <w:rsid w:val="04A3475F"/>
    <w:rsid w:val="057E55E6"/>
    <w:rsid w:val="05DE23C9"/>
    <w:rsid w:val="066E3601"/>
    <w:rsid w:val="07020E68"/>
    <w:rsid w:val="07DB36DE"/>
    <w:rsid w:val="07FF5977"/>
    <w:rsid w:val="08315D7E"/>
    <w:rsid w:val="08C76A4F"/>
    <w:rsid w:val="093D204A"/>
    <w:rsid w:val="09987F6F"/>
    <w:rsid w:val="09A00242"/>
    <w:rsid w:val="09D92C37"/>
    <w:rsid w:val="09E825BB"/>
    <w:rsid w:val="09F93AE4"/>
    <w:rsid w:val="0ADB3035"/>
    <w:rsid w:val="0D3737CE"/>
    <w:rsid w:val="0F191550"/>
    <w:rsid w:val="0F8D6FC0"/>
    <w:rsid w:val="107B0064"/>
    <w:rsid w:val="1082515C"/>
    <w:rsid w:val="118A64E9"/>
    <w:rsid w:val="12865D2D"/>
    <w:rsid w:val="12EE333C"/>
    <w:rsid w:val="13605E31"/>
    <w:rsid w:val="13880229"/>
    <w:rsid w:val="13CD42CE"/>
    <w:rsid w:val="13F35FF9"/>
    <w:rsid w:val="14F177FE"/>
    <w:rsid w:val="150F1B54"/>
    <w:rsid w:val="159747DB"/>
    <w:rsid w:val="170B195A"/>
    <w:rsid w:val="17F90699"/>
    <w:rsid w:val="184E6871"/>
    <w:rsid w:val="19636B6A"/>
    <w:rsid w:val="19642630"/>
    <w:rsid w:val="19EB73E0"/>
    <w:rsid w:val="1A4967B0"/>
    <w:rsid w:val="1ABC763E"/>
    <w:rsid w:val="1B5F4C35"/>
    <w:rsid w:val="1C8E3436"/>
    <w:rsid w:val="1CEB2231"/>
    <w:rsid w:val="1E1957E9"/>
    <w:rsid w:val="1EA83D22"/>
    <w:rsid w:val="1F2D22B7"/>
    <w:rsid w:val="202253C5"/>
    <w:rsid w:val="22A55B79"/>
    <w:rsid w:val="241D403F"/>
    <w:rsid w:val="24CA057A"/>
    <w:rsid w:val="2594657E"/>
    <w:rsid w:val="26894637"/>
    <w:rsid w:val="26BB3CAD"/>
    <w:rsid w:val="29FF4267"/>
    <w:rsid w:val="2ABE638D"/>
    <w:rsid w:val="2AE34ED0"/>
    <w:rsid w:val="2C0C3220"/>
    <w:rsid w:val="2CC611F5"/>
    <w:rsid w:val="2E9D1455"/>
    <w:rsid w:val="2EEA45D7"/>
    <w:rsid w:val="2F7418D9"/>
    <w:rsid w:val="2FA94520"/>
    <w:rsid w:val="301971EB"/>
    <w:rsid w:val="32C36507"/>
    <w:rsid w:val="3301353F"/>
    <w:rsid w:val="35055A96"/>
    <w:rsid w:val="35AC6517"/>
    <w:rsid w:val="35C877EF"/>
    <w:rsid w:val="361376EE"/>
    <w:rsid w:val="372C5FA6"/>
    <w:rsid w:val="37DC2F9F"/>
    <w:rsid w:val="38F4757D"/>
    <w:rsid w:val="39542D06"/>
    <w:rsid w:val="396A7693"/>
    <w:rsid w:val="39C00A22"/>
    <w:rsid w:val="3A1A24FD"/>
    <w:rsid w:val="3ACB0FAC"/>
    <w:rsid w:val="3B855A0B"/>
    <w:rsid w:val="3CFC358C"/>
    <w:rsid w:val="3F1633BF"/>
    <w:rsid w:val="40722AC0"/>
    <w:rsid w:val="40F11AC0"/>
    <w:rsid w:val="410713E6"/>
    <w:rsid w:val="41680945"/>
    <w:rsid w:val="424870E7"/>
    <w:rsid w:val="42831D2D"/>
    <w:rsid w:val="42A26034"/>
    <w:rsid w:val="44A537CA"/>
    <w:rsid w:val="44BB59D8"/>
    <w:rsid w:val="44D02130"/>
    <w:rsid w:val="45461C1F"/>
    <w:rsid w:val="45C61B4A"/>
    <w:rsid w:val="462F2C32"/>
    <w:rsid w:val="46E475E9"/>
    <w:rsid w:val="48A15912"/>
    <w:rsid w:val="48BD56D2"/>
    <w:rsid w:val="48C159A6"/>
    <w:rsid w:val="48CB26A9"/>
    <w:rsid w:val="4936179E"/>
    <w:rsid w:val="49666A49"/>
    <w:rsid w:val="4A43119C"/>
    <w:rsid w:val="4A5372A8"/>
    <w:rsid w:val="4AD56CD4"/>
    <w:rsid w:val="4BD90289"/>
    <w:rsid w:val="4C9D1BF8"/>
    <w:rsid w:val="4D5A7D1D"/>
    <w:rsid w:val="4DBA7815"/>
    <w:rsid w:val="4E8302E2"/>
    <w:rsid w:val="4F8D56E9"/>
    <w:rsid w:val="503E5ECD"/>
    <w:rsid w:val="51730F89"/>
    <w:rsid w:val="51AB47B4"/>
    <w:rsid w:val="527F76E6"/>
    <w:rsid w:val="52E647AB"/>
    <w:rsid w:val="54624399"/>
    <w:rsid w:val="54A264BA"/>
    <w:rsid w:val="54DB7B35"/>
    <w:rsid w:val="54E26EDD"/>
    <w:rsid w:val="54FE4663"/>
    <w:rsid w:val="57811D38"/>
    <w:rsid w:val="57B257EC"/>
    <w:rsid w:val="57FC0572"/>
    <w:rsid w:val="59907DCD"/>
    <w:rsid w:val="5B465EC1"/>
    <w:rsid w:val="5B9B6142"/>
    <w:rsid w:val="5C0C052C"/>
    <w:rsid w:val="5DDFE12E"/>
    <w:rsid w:val="5EC10DA7"/>
    <w:rsid w:val="5F223E2D"/>
    <w:rsid w:val="5F65579F"/>
    <w:rsid w:val="615B3513"/>
    <w:rsid w:val="619E5D36"/>
    <w:rsid w:val="64BD4922"/>
    <w:rsid w:val="64F33D24"/>
    <w:rsid w:val="650852FE"/>
    <w:rsid w:val="65B904E2"/>
    <w:rsid w:val="65CE6758"/>
    <w:rsid w:val="65F176ED"/>
    <w:rsid w:val="668C749A"/>
    <w:rsid w:val="68CA69B7"/>
    <w:rsid w:val="699B7E56"/>
    <w:rsid w:val="69BB3848"/>
    <w:rsid w:val="6A566500"/>
    <w:rsid w:val="6BDA2BDA"/>
    <w:rsid w:val="6C002183"/>
    <w:rsid w:val="6DA856C3"/>
    <w:rsid w:val="6F8246D8"/>
    <w:rsid w:val="6FD507E8"/>
    <w:rsid w:val="703513F5"/>
    <w:rsid w:val="708E2872"/>
    <w:rsid w:val="70967245"/>
    <w:rsid w:val="70DE2F75"/>
    <w:rsid w:val="72785580"/>
    <w:rsid w:val="73DC2A95"/>
    <w:rsid w:val="75221B2B"/>
    <w:rsid w:val="75AF26A1"/>
    <w:rsid w:val="77DF69E4"/>
    <w:rsid w:val="7A1E5E9B"/>
    <w:rsid w:val="7A375BD3"/>
    <w:rsid w:val="7A9D0F41"/>
    <w:rsid w:val="7B3C1D95"/>
    <w:rsid w:val="7CA04CE2"/>
    <w:rsid w:val="7D442EE7"/>
    <w:rsid w:val="7DB125DF"/>
    <w:rsid w:val="7DD72590"/>
    <w:rsid w:val="7F642A01"/>
    <w:rsid w:val="AFF914CD"/>
    <w:rsid w:val="E9FC6B8A"/>
    <w:rsid w:val="EDCF7DF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肘形连接符 33"/>
        <o:r id="V:Rule2" type="connector" idref="#肘形连接符 34"/>
        <o:r id="V:Rule3" type="connector" idref="#肘形连接符 35"/>
        <o:r id="V:Rule4" type="connector" idref="#肘形连接符 86"/>
        <o:r id="V:Rule5" type="connector" idref="#肘形连接符 109"/>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iPriority="0" w:semiHidden="0" w:name="header"/>
    <w:lsdException w:qFormat="1" w:uiPriority="99" w:semiHidden="0" w:name="footer"/>
    <w:lsdException w:uiPriority="0" w:name="index heading"/>
    <w:lsdException w:qFormat="1" w:unhideWhenUsed="0" w:uiPriority="0" w:semiHidden="0" w:name="caption"/>
    <w:lsdException w:qFormat="1" w:unhideWhenUsed="0"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link w:val="233"/>
    <w:qFormat/>
    <w:uiPriority w:val="0"/>
    <w:pPr>
      <w:keepNext/>
      <w:keepLines/>
      <w:spacing w:before="340" w:after="330" w:line="578" w:lineRule="auto"/>
      <w:outlineLvl w:val="0"/>
    </w:pPr>
    <w:rPr>
      <w:rFonts w:ascii="Times New Roman" w:hAnsi="Times New Roman" w:cs="Times New Roman"/>
      <w:b/>
      <w:bCs/>
      <w:kern w:val="44"/>
      <w:sz w:val="44"/>
      <w:szCs w:val="44"/>
    </w:rPr>
  </w:style>
  <w:style w:type="paragraph" w:styleId="4">
    <w:name w:val="heading 2"/>
    <w:basedOn w:val="1"/>
    <w:next w:val="1"/>
    <w:link w:val="234"/>
    <w:qFormat/>
    <w:uiPriority w:val="0"/>
    <w:pPr>
      <w:keepNext/>
      <w:keepLines/>
      <w:spacing w:before="260" w:after="260" w:line="416" w:lineRule="auto"/>
      <w:outlineLvl w:val="1"/>
    </w:pPr>
    <w:rPr>
      <w:rFonts w:ascii="Arial" w:hAnsi="Arial" w:eastAsia="黑体" w:cs="Times New Roman"/>
      <w:b/>
      <w:bCs/>
      <w:sz w:val="32"/>
      <w:szCs w:val="32"/>
    </w:rPr>
  </w:style>
  <w:style w:type="paragraph" w:styleId="5">
    <w:name w:val="heading 3"/>
    <w:basedOn w:val="1"/>
    <w:next w:val="1"/>
    <w:link w:val="235"/>
    <w:qFormat/>
    <w:uiPriority w:val="0"/>
    <w:pPr>
      <w:keepNext/>
      <w:keepLines/>
      <w:tabs>
        <w:tab w:val="left" w:pos="1980"/>
      </w:tabs>
      <w:spacing w:before="260" w:after="260" w:line="360" w:lineRule="auto"/>
      <w:ind w:left="1331" w:hanging="431"/>
      <w:outlineLvl w:val="2"/>
    </w:pPr>
    <w:rPr>
      <w:rFonts w:ascii="黑体" w:hAnsi="Arial" w:eastAsia="黑体" w:cs="Times New Roman"/>
      <w:b/>
      <w:bCs/>
      <w:spacing w:val="10"/>
      <w:sz w:val="28"/>
      <w:szCs w:val="28"/>
    </w:rPr>
  </w:style>
  <w:style w:type="paragraph" w:styleId="6">
    <w:name w:val="heading 4"/>
    <w:basedOn w:val="1"/>
    <w:next w:val="7"/>
    <w:link w:val="236"/>
    <w:qFormat/>
    <w:uiPriority w:val="0"/>
    <w:pPr>
      <w:keepNext/>
      <w:keepLines/>
      <w:tabs>
        <w:tab w:val="left" w:pos="2340"/>
      </w:tabs>
      <w:spacing w:before="60" w:after="60" w:line="360" w:lineRule="auto"/>
      <w:ind w:left="1764" w:hanging="864"/>
      <w:outlineLvl w:val="3"/>
    </w:pPr>
    <w:rPr>
      <w:rFonts w:ascii="Arial" w:hAnsi="Arial" w:eastAsia="黑体" w:cs="Times New Roman"/>
      <w:spacing w:val="10"/>
      <w:sz w:val="28"/>
      <w:szCs w:val="28"/>
    </w:rPr>
  </w:style>
  <w:style w:type="paragraph" w:styleId="8">
    <w:name w:val="heading 5"/>
    <w:basedOn w:val="1"/>
    <w:next w:val="7"/>
    <w:link w:val="237"/>
    <w:qFormat/>
    <w:uiPriority w:val="0"/>
    <w:pPr>
      <w:keepNext/>
      <w:keepLines/>
      <w:tabs>
        <w:tab w:val="left" w:pos="1440"/>
      </w:tabs>
      <w:spacing w:before="60" w:after="60" w:line="400" w:lineRule="exact"/>
      <w:ind w:left="1008" w:hanging="1008"/>
      <w:outlineLvl w:val="4"/>
    </w:pPr>
    <w:rPr>
      <w:rFonts w:ascii="Arial" w:hAnsi="Arial" w:eastAsia="黑体" w:cs="Times New Roman"/>
      <w:b/>
      <w:color w:val="000000"/>
      <w:spacing w:val="10"/>
      <w:sz w:val="24"/>
      <w:szCs w:val="20"/>
    </w:rPr>
  </w:style>
  <w:style w:type="paragraph" w:styleId="9">
    <w:name w:val="heading 6"/>
    <w:basedOn w:val="1"/>
    <w:next w:val="7"/>
    <w:link w:val="238"/>
    <w:qFormat/>
    <w:uiPriority w:val="0"/>
    <w:pPr>
      <w:keepNext/>
      <w:keepLines/>
      <w:tabs>
        <w:tab w:val="left" w:pos="1152"/>
      </w:tabs>
      <w:spacing w:line="360" w:lineRule="auto"/>
      <w:ind w:left="1152" w:hanging="1152"/>
      <w:outlineLvl w:val="5"/>
    </w:pPr>
    <w:rPr>
      <w:rFonts w:ascii="Arial" w:hAnsi="Arial" w:eastAsia="黑体" w:cs="Times New Roman"/>
      <w:b/>
      <w:spacing w:val="10"/>
      <w:sz w:val="24"/>
      <w:szCs w:val="20"/>
    </w:rPr>
  </w:style>
  <w:style w:type="paragraph" w:styleId="10">
    <w:name w:val="heading 7"/>
    <w:basedOn w:val="1"/>
    <w:next w:val="7"/>
    <w:link w:val="239"/>
    <w:qFormat/>
    <w:uiPriority w:val="0"/>
    <w:pPr>
      <w:keepNext/>
      <w:keepLines/>
      <w:tabs>
        <w:tab w:val="left" w:pos="1296"/>
      </w:tabs>
      <w:spacing w:before="240" w:after="64" w:line="320" w:lineRule="auto"/>
      <w:ind w:left="1296" w:hanging="1296"/>
      <w:outlineLvl w:val="6"/>
    </w:pPr>
    <w:rPr>
      <w:rFonts w:ascii="宋体" w:hAnsi="宋体" w:cs="Times New Roman"/>
      <w:b/>
      <w:spacing w:val="10"/>
      <w:sz w:val="24"/>
      <w:szCs w:val="20"/>
    </w:rPr>
  </w:style>
  <w:style w:type="paragraph" w:styleId="11">
    <w:name w:val="heading 8"/>
    <w:basedOn w:val="1"/>
    <w:next w:val="7"/>
    <w:link w:val="240"/>
    <w:qFormat/>
    <w:uiPriority w:val="0"/>
    <w:pPr>
      <w:keepNext/>
      <w:keepLines/>
      <w:tabs>
        <w:tab w:val="left" w:pos="1440"/>
      </w:tabs>
      <w:spacing w:before="240" w:after="64" w:line="320" w:lineRule="auto"/>
      <w:ind w:left="1440" w:hanging="1440"/>
      <w:outlineLvl w:val="7"/>
    </w:pPr>
    <w:rPr>
      <w:rFonts w:ascii="Arial" w:hAnsi="Arial" w:eastAsia="黑体" w:cs="Times New Roman"/>
      <w:spacing w:val="10"/>
      <w:sz w:val="24"/>
      <w:szCs w:val="20"/>
    </w:rPr>
  </w:style>
  <w:style w:type="paragraph" w:styleId="12">
    <w:name w:val="heading 9"/>
    <w:basedOn w:val="1"/>
    <w:next w:val="1"/>
    <w:link w:val="241"/>
    <w:qFormat/>
    <w:uiPriority w:val="0"/>
    <w:pPr>
      <w:keepNext/>
      <w:numPr>
        <w:ilvl w:val="8"/>
        <w:numId w:val="1"/>
      </w:numPr>
      <w:tabs>
        <w:tab w:val="left" w:pos="1440"/>
        <w:tab w:val="clear" w:pos="1584"/>
      </w:tabs>
      <w:spacing w:line="360" w:lineRule="exact"/>
      <w:ind w:left="0" w:firstLine="0"/>
      <w:jc w:val="center"/>
      <w:outlineLvl w:val="8"/>
    </w:pPr>
    <w:rPr>
      <w:rFonts w:ascii="Times New Roman" w:hAnsi="Times New Roman" w:cs="Times New Roman"/>
      <w:b/>
      <w:bCs/>
      <w:szCs w:val="24"/>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3"/>
    <w:basedOn w:val="1"/>
    <w:link w:val="261"/>
    <w:qFormat/>
    <w:uiPriority w:val="0"/>
    <w:pPr>
      <w:spacing w:after="120"/>
    </w:pPr>
    <w:rPr>
      <w:rFonts w:ascii="Times New Roman" w:hAnsi="Times New Roman" w:cs="Times New Roman"/>
      <w:sz w:val="16"/>
      <w:szCs w:val="16"/>
    </w:rPr>
  </w:style>
  <w:style w:type="paragraph" w:styleId="7">
    <w:name w:val="Normal Indent"/>
    <w:basedOn w:val="1"/>
    <w:link w:val="242"/>
    <w:qFormat/>
    <w:uiPriority w:val="0"/>
    <w:pPr>
      <w:spacing w:before="60" w:after="60" w:line="400" w:lineRule="exact"/>
      <w:ind w:firstLine="420"/>
    </w:pPr>
    <w:rPr>
      <w:rFonts w:ascii="Times New Roman" w:hAnsi="Times New Roman" w:cs="Times New Roman"/>
      <w:spacing w:val="10"/>
      <w:sz w:val="24"/>
      <w:szCs w:val="20"/>
    </w:rPr>
  </w:style>
  <w:style w:type="paragraph" w:styleId="13">
    <w:name w:val="toc 7"/>
    <w:basedOn w:val="1"/>
    <w:next w:val="1"/>
    <w:qFormat/>
    <w:uiPriority w:val="0"/>
    <w:pPr>
      <w:ind w:left="2520" w:leftChars="1200"/>
    </w:pPr>
    <w:rPr>
      <w:rFonts w:ascii="Times New Roman" w:hAnsi="Times New Roman" w:cs="Times New Roman"/>
      <w:szCs w:val="20"/>
    </w:rPr>
  </w:style>
  <w:style w:type="paragraph" w:styleId="14">
    <w:name w:val="caption"/>
    <w:basedOn w:val="1"/>
    <w:next w:val="1"/>
    <w:qFormat/>
    <w:uiPriority w:val="0"/>
    <w:rPr>
      <w:rFonts w:ascii="Arial" w:hAnsi="Arial" w:eastAsia="黑体" w:cs="Arial"/>
      <w:sz w:val="20"/>
      <w:szCs w:val="20"/>
    </w:rPr>
  </w:style>
  <w:style w:type="paragraph" w:styleId="15">
    <w:name w:val="Document Map"/>
    <w:basedOn w:val="1"/>
    <w:link w:val="246"/>
    <w:qFormat/>
    <w:uiPriority w:val="0"/>
    <w:rPr>
      <w:rFonts w:ascii="宋体"/>
      <w:sz w:val="18"/>
      <w:szCs w:val="18"/>
    </w:rPr>
  </w:style>
  <w:style w:type="paragraph" w:styleId="16">
    <w:name w:val="annotation text"/>
    <w:basedOn w:val="1"/>
    <w:link w:val="248"/>
    <w:unhideWhenUsed/>
    <w:qFormat/>
    <w:uiPriority w:val="0"/>
    <w:pPr>
      <w:jc w:val="left"/>
    </w:pPr>
    <w:rPr>
      <w:rFonts w:ascii="Times New Roman" w:hAnsi="Times New Roman" w:cs="Times New Roman"/>
      <w:szCs w:val="24"/>
    </w:rPr>
  </w:style>
  <w:style w:type="paragraph" w:styleId="17">
    <w:name w:val="Body Text"/>
    <w:basedOn w:val="1"/>
    <w:next w:val="1"/>
    <w:link w:val="253"/>
    <w:qFormat/>
    <w:uiPriority w:val="0"/>
    <w:rPr>
      <w:rFonts w:ascii="宋体" w:hAnsi="Times New Roman" w:cs="Times New Roman"/>
      <w:sz w:val="24"/>
      <w:szCs w:val="20"/>
    </w:rPr>
  </w:style>
  <w:style w:type="paragraph" w:styleId="18">
    <w:name w:val="Body Text Indent"/>
    <w:basedOn w:val="1"/>
    <w:link w:val="247"/>
    <w:qFormat/>
    <w:uiPriority w:val="0"/>
    <w:pPr>
      <w:ind w:firstLine="720" w:firstLineChars="225"/>
    </w:pPr>
    <w:rPr>
      <w:rFonts w:ascii="黑体" w:hAnsi="Times New Roman" w:eastAsia="黑体" w:cs="Times New Roman"/>
      <w:sz w:val="32"/>
      <w:szCs w:val="24"/>
    </w:rPr>
  </w:style>
  <w:style w:type="paragraph" w:styleId="19">
    <w:name w:val="List 2"/>
    <w:basedOn w:val="1"/>
    <w:qFormat/>
    <w:uiPriority w:val="0"/>
    <w:pPr>
      <w:ind w:left="100" w:leftChars="200" w:hanging="200" w:hangingChars="200"/>
    </w:pPr>
    <w:rPr>
      <w:rFonts w:ascii="Times New Roman" w:hAnsi="Times New Roman" w:cs="Times New Roman"/>
      <w:szCs w:val="20"/>
    </w:rPr>
  </w:style>
  <w:style w:type="paragraph" w:styleId="20">
    <w:name w:val="HTML Address"/>
    <w:basedOn w:val="1"/>
    <w:link w:val="260"/>
    <w:qFormat/>
    <w:uiPriority w:val="0"/>
    <w:rPr>
      <w:rFonts w:ascii="Times" w:hAnsi="Times" w:cs="Times New Roman"/>
      <w:i/>
      <w:iCs/>
      <w:snapToGrid w:val="0"/>
      <w:kern w:val="18"/>
      <w:sz w:val="18"/>
      <w:szCs w:val="18"/>
    </w:rPr>
  </w:style>
  <w:style w:type="paragraph" w:styleId="21">
    <w:name w:val="toc 5"/>
    <w:basedOn w:val="1"/>
    <w:next w:val="1"/>
    <w:qFormat/>
    <w:uiPriority w:val="0"/>
    <w:pPr>
      <w:ind w:left="1680" w:leftChars="800"/>
    </w:pPr>
    <w:rPr>
      <w:rFonts w:ascii="Times New Roman" w:hAnsi="Times New Roman" w:cs="Times New Roman"/>
      <w:szCs w:val="20"/>
    </w:rPr>
  </w:style>
  <w:style w:type="paragraph" w:styleId="22">
    <w:name w:val="toc 3"/>
    <w:basedOn w:val="1"/>
    <w:next w:val="1"/>
    <w:qFormat/>
    <w:uiPriority w:val="0"/>
    <w:pPr>
      <w:ind w:left="840" w:leftChars="400"/>
    </w:pPr>
    <w:rPr>
      <w:rFonts w:ascii="Times New Roman" w:hAnsi="Times New Roman" w:cs="Times New Roman"/>
      <w:szCs w:val="20"/>
    </w:rPr>
  </w:style>
  <w:style w:type="paragraph" w:styleId="23">
    <w:name w:val="Plain Text"/>
    <w:basedOn w:val="1"/>
    <w:link w:val="258"/>
    <w:qFormat/>
    <w:uiPriority w:val="0"/>
    <w:rPr>
      <w:rFonts w:ascii="宋体" w:hAnsi="Courier New" w:cs="Courier New"/>
      <w:szCs w:val="21"/>
    </w:rPr>
  </w:style>
  <w:style w:type="paragraph" w:styleId="24">
    <w:name w:val="toc 8"/>
    <w:basedOn w:val="1"/>
    <w:next w:val="1"/>
    <w:qFormat/>
    <w:uiPriority w:val="0"/>
    <w:pPr>
      <w:ind w:left="2940" w:leftChars="1400"/>
    </w:pPr>
    <w:rPr>
      <w:rFonts w:ascii="Times New Roman" w:hAnsi="Times New Roman" w:cs="Times New Roman"/>
      <w:szCs w:val="20"/>
    </w:rPr>
  </w:style>
  <w:style w:type="paragraph" w:styleId="25">
    <w:name w:val="Date"/>
    <w:basedOn w:val="1"/>
    <w:next w:val="1"/>
    <w:link w:val="254"/>
    <w:qFormat/>
    <w:uiPriority w:val="0"/>
    <w:pPr>
      <w:ind w:left="100" w:leftChars="2500"/>
    </w:pPr>
    <w:rPr>
      <w:rFonts w:ascii="Times New Roman" w:hAnsi="Times New Roman" w:cs="Times New Roman"/>
      <w:szCs w:val="24"/>
    </w:rPr>
  </w:style>
  <w:style w:type="paragraph" w:styleId="26">
    <w:name w:val="Body Text Indent 2"/>
    <w:basedOn w:val="1"/>
    <w:link w:val="251"/>
    <w:qFormat/>
    <w:uiPriority w:val="0"/>
    <w:pPr>
      <w:ind w:firstLine="630"/>
    </w:pPr>
    <w:rPr>
      <w:rFonts w:ascii="Times New Roman" w:hAnsi="Times New Roman" w:cs="Times New Roman"/>
      <w:sz w:val="28"/>
      <w:szCs w:val="24"/>
    </w:rPr>
  </w:style>
  <w:style w:type="paragraph" w:styleId="27">
    <w:name w:val="Balloon Text"/>
    <w:basedOn w:val="1"/>
    <w:link w:val="232"/>
    <w:unhideWhenUsed/>
    <w:qFormat/>
    <w:uiPriority w:val="0"/>
    <w:rPr>
      <w:sz w:val="18"/>
      <w:szCs w:val="18"/>
    </w:rPr>
  </w:style>
  <w:style w:type="paragraph" w:styleId="28">
    <w:name w:val="footer"/>
    <w:basedOn w:val="1"/>
    <w:link w:val="231"/>
    <w:unhideWhenUsed/>
    <w:qFormat/>
    <w:uiPriority w:val="99"/>
    <w:pPr>
      <w:tabs>
        <w:tab w:val="center" w:pos="4153"/>
        <w:tab w:val="right" w:pos="8306"/>
      </w:tabs>
      <w:snapToGrid w:val="0"/>
      <w:jc w:val="left"/>
    </w:pPr>
    <w:rPr>
      <w:sz w:val="18"/>
      <w:szCs w:val="18"/>
    </w:rPr>
  </w:style>
  <w:style w:type="paragraph" w:styleId="29">
    <w:name w:val="header"/>
    <w:basedOn w:val="1"/>
    <w:link w:val="230"/>
    <w:unhideWhenUsed/>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0"/>
    <w:pPr>
      <w:tabs>
        <w:tab w:val="right" w:leader="dot" w:pos="8455"/>
      </w:tabs>
    </w:pPr>
    <w:rPr>
      <w:rFonts w:ascii="仿宋_GB2312" w:hAnsi="仿宋" w:eastAsia="仿宋_GB2312" w:cs="Times New Roman"/>
      <w:sz w:val="28"/>
      <w:szCs w:val="28"/>
    </w:rPr>
  </w:style>
  <w:style w:type="paragraph" w:styleId="31">
    <w:name w:val="toc 4"/>
    <w:basedOn w:val="1"/>
    <w:next w:val="1"/>
    <w:qFormat/>
    <w:uiPriority w:val="0"/>
    <w:pPr>
      <w:ind w:left="1260" w:leftChars="600"/>
    </w:pPr>
    <w:rPr>
      <w:rFonts w:ascii="Times New Roman" w:hAnsi="Times New Roman" w:cs="Times New Roman"/>
      <w:szCs w:val="20"/>
    </w:rPr>
  </w:style>
  <w:style w:type="paragraph" w:styleId="32">
    <w:name w:val="List"/>
    <w:basedOn w:val="1"/>
    <w:qFormat/>
    <w:uiPriority w:val="0"/>
    <w:pPr>
      <w:ind w:left="200" w:hanging="200" w:hangingChars="200"/>
    </w:pPr>
    <w:rPr>
      <w:rFonts w:ascii="Times New Roman" w:hAnsi="Times New Roman" w:cs="Times New Roman"/>
      <w:szCs w:val="24"/>
    </w:rPr>
  </w:style>
  <w:style w:type="paragraph" w:styleId="33">
    <w:name w:val="footnote text"/>
    <w:basedOn w:val="1"/>
    <w:link w:val="266"/>
    <w:semiHidden/>
    <w:qFormat/>
    <w:uiPriority w:val="0"/>
    <w:pPr>
      <w:snapToGrid w:val="0"/>
      <w:jc w:val="left"/>
    </w:pPr>
    <w:rPr>
      <w:rFonts w:ascii="Times" w:hAnsi="Times" w:cs="Times New Roman"/>
      <w:snapToGrid w:val="0"/>
      <w:kern w:val="18"/>
      <w:sz w:val="18"/>
      <w:szCs w:val="18"/>
    </w:rPr>
  </w:style>
  <w:style w:type="paragraph" w:styleId="34">
    <w:name w:val="toc 6"/>
    <w:basedOn w:val="1"/>
    <w:next w:val="1"/>
    <w:qFormat/>
    <w:uiPriority w:val="0"/>
    <w:pPr>
      <w:ind w:left="2100" w:leftChars="1000"/>
    </w:pPr>
    <w:rPr>
      <w:rFonts w:ascii="Times New Roman" w:hAnsi="Times New Roman" w:cs="Times New Roman"/>
      <w:szCs w:val="20"/>
    </w:rPr>
  </w:style>
  <w:style w:type="paragraph" w:styleId="35">
    <w:name w:val="Body Text Indent 3"/>
    <w:basedOn w:val="1"/>
    <w:link w:val="252"/>
    <w:qFormat/>
    <w:uiPriority w:val="0"/>
    <w:pPr>
      <w:ind w:firstLine="570"/>
    </w:pPr>
    <w:rPr>
      <w:rFonts w:ascii="Times New Roman" w:hAnsi="Times New Roman" w:cs="Times New Roman"/>
      <w:sz w:val="28"/>
      <w:szCs w:val="24"/>
    </w:rPr>
  </w:style>
  <w:style w:type="paragraph" w:styleId="36">
    <w:name w:val="table of figures"/>
    <w:basedOn w:val="1"/>
    <w:next w:val="1"/>
    <w:semiHidden/>
    <w:qFormat/>
    <w:uiPriority w:val="0"/>
    <w:pPr>
      <w:ind w:left="840" w:leftChars="200" w:hanging="420" w:hangingChars="200"/>
    </w:pPr>
    <w:rPr>
      <w:rFonts w:ascii="Times New Roman" w:hAnsi="Times New Roman" w:cs="Times New Roman"/>
      <w:szCs w:val="24"/>
    </w:rPr>
  </w:style>
  <w:style w:type="paragraph" w:styleId="37">
    <w:name w:val="toc 2"/>
    <w:basedOn w:val="1"/>
    <w:next w:val="1"/>
    <w:qFormat/>
    <w:uiPriority w:val="0"/>
    <w:pPr>
      <w:ind w:left="420" w:leftChars="200"/>
    </w:pPr>
    <w:rPr>
      <w:rFonts w:ascii="Times New Roman" w:hAnsi="Times New Roman" w:cs="Times New Roman"/>
      <w:szCs w:val="20"/>
    </w:rPr>
  </w:style>
  <w:style w:type="paragraph" w:styleId="38">
    <w:name w:val="toc 9"/>
    <w:basedOn w:val="1"/>
    <w:next w:val="1"/>
    <w:qFormat/>
    <w:uiPriority w:val="0"/>
    <w:pPr>
      <w:ind w:left="3360" w:leftChars="1600"/>
    </w:pPr>
    <w:rPr>
      <w:rFonts w:ascii="Times New Roman" w:hAnsi="Times New Roman" w:cs="Times New Roman"/>
      <w:szCs w:val="20"/>
    </w:rPr>
  </w:style>
  <w:style w:type="paragraph" w:styleId="39">
    <w:name w:val="Body Text 2"/>
    <w:basedOn w:val="1"/>
    <w:link w:val="267"/>
    <w:qFormat/>
    <w:uiPriority w:val="0"/>
    <w:pPr>
      <w:spacing w:after="120" w:line="480" w:lineRule="auto"/>
    </w:pPr>
    <w:rPr>
      <w:rFonts w:ascii="Times New Roman" w:hAnsi="Times New Roman" w:cs="Times New Roman"/>
      <w:szCs w:val="24"/>
    </w:rPr>
  </w:style>
  <w:style w:type="paragraph" w:styleId="40">
    <w:name w:val="HTML Preformatted"/>
    <w:basedOn w:val="1"/>
    <w:link w:val="27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41">
    <w:name w:val="Normal (Web)"/>
    <w:basedOn w:val="1"/>
    <w:link w:val="278"/>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szCs w:val="24"/>
    </w:rPr>
  </w:style>
  <w:style w:type="paragraph" w:styleId="42">
    <w:name w:val="Title"/>
    <w:basedOn w:val="1"/>
    <w:next w:val="1"/>
    <w:link w:val="244"/>
    <w:qFormat/>
    <w:uiPriority w:val="0"/>
    <w:pPr>
      <w:spacing w:before="240" w:after="60"/>
      <w:jc w:val="center"/>
      <w:outlineLvl w:val="0"/>
    </w:pPr>
    <w:rPr>
      <w:rFonts w:ascii="Cambria" w:hAnsi="Cambria" w:cs="Times New Roman"/>
      <w:b/>
      <w:bCs/>
      <w:sz w:val="32"/>
      <w:szCs w:val="32"/>
    </w:rPr>
  </w:style>
  <w:style w:type="paragraph" w:styleId="43">
    <w:name w:val="annotation subject"/>
    <w:basedOn w:val="16"/>
    <w:next w:val="16"/>
    <w:link w:val="249"/>
    <w:unhideWhenUsed/>
    <w:qFormat/>
    <w:uiPriority w:val="0"/>
    <w:rPr>
      <w:b/>
      <w:bCs/>
    </w:rPr>
  </w:style>
  <w:style w:type="paragraph" w:styleId="44">
    <w:name w:val="Body Text First Indent"/>
    <w:basedOn w:val="17"/>
    <w:next w:val="1"/>
    <w:link w:val="256"/>
    <w:qFormat/>
    <w:uiPriority w:val="0"/>
    <w:pPr>
      <w:spacing w:after="120"/>
      <w:ind w:firstLine="420" w:firstLineChars="100"/>
    </w:pPr>
    <w:rPr>
      <w:rFonts w:ascii="Times New Roman"/>
      <w:sz w:val="21"/>
    </w:rPr>
  </w:style>
  <w:style w:type="paragraph" w:styleId="45">
    <w:name w:val="Body Text First Indent 2"/>
    <w:basedOn w:val="18"/>
    <w:link w:val="276"/>
    <w:qFormat/>
    <w:uiPriority w:val="0"/>
    <w:pPr>
      <w:spacing w:after="120"/>
      <w:ind w:left="420" w:firstLine="420" w:firstLineChars="0"/>
    </w:pPr>
    <w:rPr>
      <w:rFonts w:ascii="Times New Roman" w:eastAsia="宋体"/>
      <w:sz w:val="21"/>
      <w:szCs w:val="20"/>
    </w:rPr>
  </w:style>
  <w:style w:type="table" w:styleId="47">
    <w:name w:val="Table Grid"/>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0"/>
    <w:rPr>
      <w:b/>
      <w:bCs/>
    </w:rPr>
  </w:style>
  <w:style w:type="character" w:styleId="50">
    <w:name w:val="page number"/>
    <w:basedOn w:val="48"/>
    <w:qFormat/>
    <w:uiPriority w:val="0"/>
  </w:style>
  <w:style w:type="character" w:styleId="51">
    <w:name w:val="FollowedHyperlink"/>
    <w:qFormat/>
    <w:uiPriority w:val="0"/>
    <w:rPr>
      <w:color w:val="800080"/>
      <w:u w:val="single"/>
    </w:rPr>
  </w:style>
  <w:style w:type="character" w:styleId="52">
    <w:name w:val="HTML Definition"/>
    <w:qFormat/>
    <w:uiPriority w:val="0"/>
    <w:rPr>
      <w:i/>
      <w:iCs/>
    </w:rPr>
  </w:style>
  <w:style w:type="character" w:styleId="53">
    <w:name w:val="HTML Typewriter"/>
    <w:qFormat/>
    <w:uiPriority w:val="0"/>
    <w:rPr>
      <w:rFonts w:ascii="Courier New" w:hAnsi="Courier New"/>
      <w:sz w:val="20"/>
      <w:szCs w:val="20"/>
    </w:rPr>
  </w:style>
  <w:style w:type="character" w:styleId="54">
    <w:name w:val="HTML Acronym"/>
    <w:basedOn w:val="48"/>
    <w:qFormat/>
    <w:uiPriority w:val="0"/>
  </w:style>
  <w:style w:type="character" w:styleId="55">
    <w:name w:val="HTML Variable"/>
    <w:qFormat/>
    <w:uiPriority w:val="0"/>
    <w:rPr>
      <w:i/>
      <w:iCs/>
    </w:rPr>
  </w:style>
  <w:style w:type="character" w:styleId="56">
    <w:name w:val="Hyperlink"/>
    <w:basedOn w:val="48"/>
    <w:qFormat/>
    <w:uiPriority w:val="0"/>
    <w:rPr>
      <w:color w:val="0000FF"/>
      <w:u w:val="single"/>
    </w:rPr>
  </w:style>
  <w:style w:type="character" w:styleId="57">
    <w:name w:val="HTML Code"/>
    <w:qFormat/>
    <w:uiPriority w:val="0"/>
    <w:rPr>
      <w:rFonts w:ascii="Courier New" w:hAnsi="Courier New" w:cs="Courier New"/>
      <w:sz w:val="20"/>
      <w:szCs w:val="20"/>
    </w:rPr>
  </w:style>
  <w:style w:type="character" w:styleId="58">
    <w:name w:val="annotation reference"/>
    <w:unhideWhenUsed/>
    <w:qFormat/>
    <w:uiPriority w:val="0"/>
    <w:rPr>
      <w:sz w:val="21"/>
      <w:szCs w:val="21"/>
    </w:rPr>
  </w:style>
  <w:style w:type="character" w:styleId="59">
    <w:name w:val="HTML Keyboard"/>
    <w:qFormat/>
    <w:uiPriority w:val="0"/>
    <w:rPr>
      <w:rFonts w:ascii="Courier New" w:hAnsi="Courier New"/>
      <w:sz w:val="20"/>
      <w:szCs w:val="20"/>
    </w:rPr>
  </w:style>
  <w:style w:type="character" w:styleId="60">
    <w:name w:val="HTML Sample"/>
    <w:qFormat/>
    <w:uiPriority w:val="0"/>
    <w:rPr>
      <w:rFonts w:ascii="Courier New" w:hAnsi="Courier New"/>
    </w:rPr>
  </w:style>
  <w:style w:type="paragraph" w:customStyle="1" w:styleId="61">
    <w:name w:val="默认段落字体 Para Char Char Char Char Char Char Char Char Char Char"/>
    <w:basedOn w:val="1"/>
    <w:qFormat/>
    <w:uiPriority w:val="0"/>
    <w:rPr>
      <w:rFonts w:ascii="Times New Roman" w:hAnsi="Times New Roman" w:cs="Times New Roman"/>
      <w:szCs w:val="24"/>
    </w:rPr>
  </w:style>
  <w:style w:type="paragraph" w:customStyle="1" w:styleId="6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63">
    <w:name w:val="xl2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4"/>
      <w:szCs w:val="24"/>
    </w:rPr>
  </w:style>
  <w:style w:type="paragraph" w:customStyle="1" w:styleId="64">
    <w:name w:val="Default"/>
    <w:qFormat/>
    <w:uiPriority w:val="0"/>
    <w:pPr>
      <w:widowControl w:val="0"/>
      <w:autoSpaceDE w:val="0"/>
      <w:autoSpaceDN w:val="0"/>
      <w:adjustRightInd w:val="0"/>
    </w:pPr>
    <w:rPr>
      <w:rFonts w:ascii="华文中宋" w:hAnsi="Times New Roman" w:eastAsia="华文中宋" w:cs="Times New Roman"/>
      <w:color w:val="000000"/>
      <w:sz w:val="24"/>
      <w:szCs w:val="24"/>
      <w:lang w:val="en-US" w:eastAsia="zh-CN" w:bidi="ar-SA"/>
    </w:rPr>
  </w:style>
  <w:style w:type="paragraph" w:customStyle="1" w:styleId="65">
    <w:name w:val="表体 Char"/>
    <w:basedOn w:val="1"/>
    <w:qFormat/>
    <w:uiPriority w:val="0"/>
    <w:rPr>
      <w:rFonts w:ascii="Times New Roman" w:hAnsi="Times New Roman" w:cs="Times New Roman"/>
      <w:szCs w:val="20"/>
    </w:rPr>
  </w:style>
  <w:style w:type="paragraph" w:customStyle="1" w:styleId="66">
    <w:name w:val="表头"/>
    <w:basedOn w:val="1"/>
    <w:qFormat/>
    <w:uiPriority w:val="0"/>
    <w:pPr>
      <w:jc w:val="center"/>
    </w:pPr>
    <w:rPr>
      <w:rFonts w:ascii="Times New Roman" w:hAnsi="Times New Roman" w:cs="Times New Roman"/>
      <w:b/>
      <w:szCs w:val="20"/>
    </w:rPr>
  </w:style>
  <w:style w:type="paragraph" w:customStyle="1" w:styleId="67">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Times New Roman"/>
      <w:kern w:val="0"/>
      <w:sz w:val="18"/>
      <w:szCs w:val="20"/>
    </w:rPr>
  </w:style>
  <w:style w:type="paragraph" w:customStyle="1" w:styleId="68">
    <w:name w:val="列表2"/>
    <w:basedOn w:val="32"/>
    <w:next w:val="1"/>
    <w:qFormat/>
    <w:uiPriority w:val="0"/>
    <w:pPr>
      <w:widowControl/>
      <w:spacing w:line="360" w:lineRule="auto"/>
      <w:ind w:left="0" w:firstLine="0" w:firstLineChars="0"/>
    </w:pPr>
    <w:rPr>
      <w:sz w:val="24"/>
      <w:szCs w:val="20"/>
    </w:rPr>
  </w:style>
  <w:style w:type="paragraph" w:customStyle="1" w:styleId="69">
    <w:name w:val="正文小四"/>
    <w:basedOn w:val="1"/>
    <w:link w:val="255"/>
    <w:qFormat/>
    <w:uiPriority w:val="0"/>
    <w:pPr>
      <w:widowControl/>
      <w:spacing w:line="360" w:lineRule="auto"/>
      <w:ind w:firstLine="200" w:firstLineChars="200"/>
      <w:jc w:val="left"/>
    </w:pPr>
    <w:rPr>
      <w:rFonts w:ascii="Times New Roman" w:hAnsi="Times New Roman" w:cs="Times New Roman"/>
      <w:kern w:val="0"/>
      <w:sz w:val="24"/>
      <w:szCs w:val="20"/>
    </w:rPr>
  </w:style>
  <w:style w:type="paragraph" w:customStyle="1" w:styleId="7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71">
    <w:name w:val="附录表标题"/>
    <w:next w:val="1"/>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72">
    <w:name w:val="Char"/>
    <w:basedOn w:val="1"/>
    <w:next w:val="1"/>
    <w:qFormat/>
    <w:uiPriority w:val="0"/>
    <w:rPr>
      <w:rFonts w:ascii="Tahoma" w:hAnsi="Tahoma" w:cs="Times New Roman"/>
      <w:sz w:val="24"/>
      <w:szCs w:val="20"/>
    </w:rPr>
  </w:style>
  <w:style w:type="paragraph" w:customStyle="1" w:styleId="73">
    <w:name w:val="NCS 正文"/>
    <w:basedOn w:val="1"/>
    <w:qFormat/>
    <w:uiPriority w:val="0"/>
    <w:pPr>
      <w:spacing w:line="360" w:lineRule="auto"/>
      <w:ind w:firstLine="200" w:firstLineChars="200"/>
    </w:pPr>
    <w:rPr>
      <w:rFonts w:ascii="Times New Roman" w:hAnsi="Times New Roman" w:cs="Times New Roman"/>
      <w:sz w:val="24"/>
      <w:szCs w:val="24"/>
    </w:rPr>
  </w:style>
  <w:style w:type="paragraph" w:customStyle="1" w:styleId="74">
    <w:name w:val="正文1"/>
    <w:basedOn w:val="1"/>
    <w:qFormat/>
    <w:uiPriority w:val="0"/>
    <w:pPr>
      <w:ind w:firstLine="431"/>
    </w:pPr>
    <w:rPr>
      <w:rFonts w:ascii="Times New Roman" w:hAnsi="Times New Roman" w:cs="Times New Roman"/>
      <w:spacing w:val="20"/>
      <w:sz w:val="24"/>
      <w:szCs w:val="20"/>
    </w:rPr>
  </w:style>
  <w:style w:type="paragraph" w:customStyle="1" w:styleId="75">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76">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7">
    <w:name w:val="章标题"/>
    <w:next w:val="70"/>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78">
    <w:name w:val="一级条标题"/>
    <w:basedOn w:val="77"/>
    <w:next w:val="70"/>
    <w:link w:val="257"/>
    <w:qFormat/>
    <w:uiPriority w:val="0"/>
    <w:pPr>
      <w:spacing w:beforeLines="0" w:afterLines="0"/>
      <w:outlineLvl w:val="2"/>
    </w:pPr>
  </w:style>
  <w:style w:type="paragraph" w:customStyle="1" w:styleId="79">
    <w:name w:val="二级条标题"/>
    <w:basedOn w:val="78"/>
    <w:next w:val="70"/>
    <w:qFormat/>
    <w:uiPriority w:val="0"/>
    <w:pPr>
      <w:tabs>
        <w:tab w:val="left" w:pos="2340"/>
      </w:tabs>
      <w:ind w:left="1764" w:hanging="864"/>
      <w:outlineLvl w:val="3"/>
    </w:pPr>
  </w:style>
  <w:style w:type="paragraph" w:customStyle="1" w:styleId="80">
    <w:name w:val="三级条标题"/>
    <w:basedOn w:val="79"/>
    <w:next w:val="70"/>
    <w:qFormat/>
    <w:uiPriority w:val="0"/>
    <w:pPr>
      <w:tabs>
        <w:tab w:val="left" w:pos="1440"/>
        <w:tab w:val="clear" w:pos="2340"/>
      </w:tabs>
      <w:ind w:left="1008" w:hanging="1008"/>
      <w:outlineLvl w:val="4"/>
    </w:pPr>
  </w:style>
  <w:style w:type="paragraph" w:customStyle="1" w:styleId="81">
    <w:name w:val="四级条标题"/>
    <w:basedOn w:val="80"/>
    <w:next w:val="70"/>
    <w:qFormat/>
    <w:uiPriority w:val="0"/>
    <w:pPr>
      <w:tabs>
        <w:tab w:val="left" w:pos="1152"/>
        <w:tab w:val="left" w:pos="1680"/>
        <w:tab w:val="clear" w:pos="1440"/>
      </w:tabs>
      <w:ind w:left="1152" w:hanging="1152"/>
      <w:outlineLvl w:val="5"/>
    </w:pPr>
  </w:style>
  <w:style w:type="paragraph" w:customStyle="1" w:styleId="82">
    <w:name w:val="五级条标题"/>
    <w:basedOn w:val="81"/>
    <w:next w:val="70"/>
    <w:qFormat/>
    <w:uiPriority w:val="0"/>
    <w:pPr>
      <w:tabs>
        <w:tab w:val="left" w:pos="1296"/>
        <w:tab w:val="clear" w:pos="1152"/>
        <w:tab w:val="clear" w:pos="1680"/>
      </w:tabs>
      <w:ind w:left="1296" w:hanging="1296"/>
      <w:outlineLvl w:val="6"/>
    </w:pPr>
  </w:style>
  <w:style w:type="paragraph" w:customStyle="1" w:styleId="83">
    <w:name w:val="4"/>
    <w:basedOn w:val="1"/>
    <w:next w:val="23"/>
    <w:qFormat/>
    <w:uiPriority w:val="0"/>
    <w:pPr>
      <w:tabs>
        <w:tab w:val="left" w:pos="2520"/>
      </w:tabs>
      <w:ind w:left="2520" w:hanging="420"/>
    </w:pPr>
    <w:rPr>
      <w:rFonts w:hint="eastAsia" w:ascii="宋体" w:hAnsi="Courier New" w:cs="Times New Roman"/>
      <w:szCs w:val="20"/>
    </w:rPr>
  </w:style>
  <w:style w:type="paragraph" w:customStyle="1" w:styleId="84">
    <w:name w:val="二级无标题条"/>
    <w:basedOn w:val="1"/>
    <w:qFormat/>
    <w:uiPriority w:val="0"/>
    <w:rPr>
      <w:rFonts w:ascii="Times" w:hAnsi="Times" w:cs="Times New Roman"/>
      <w:snapToGrid w:val="0"/>
      <w:kern w:val="18"/>
      <w:sz w:val="18"/>
      <w:szCs w:val="18"/>
    </w:rPr>
  </w:style>
  <w:style w:type="paragraph" w:customStyle="1" w:styleId="85">
    <w:name w:val="三级无标题条"/>
    <w:basedOn w:val="1"/>
    <w:qFormat/>
    <w:uiPriority w:val="0"/>
    <w:pPr>
      <w:tabs>
        <w:tab w:val="left" w:pos="2520"/>
      </w:tabs>
      <w:ind w:left="2520" w:hanging="420"/>
    </w:pPr>
    <w:rPr>
      <w:rFonts w:ascii="Times" w:hAnsi="Times" w:cs="Times New Roman"/>
      <w:snapToGrid w:val="0"/>
      <w:kern w:val="18"/>
      <w:sz w:val="18"/>
      <w:szCs w:val="18"/>
    </w:rPr>
  </w:style>
  <w:style w:type="paragraph" w:customStyle="1" w:styleId="86">
    <w:name w:val="四级无标题条"/>
    <w:basedOn w:val="1"/>
    <w:qFormat/>
    <w:uiPriority w:val="0"/>
    <w:pPr>
      <w:tabs>
        <w:tab w:val="left" w:pos="2940"/>
      </w:tabs>
      <w:ind w:left="2940" w:hanging="420"/>
    </w:pPr>
    <w:rPr>
      <w:rFonts w:ascii="Times" w:hAnsi="Times" w:cs="Times New Roman"/>
      <w:snapToGrid w:val="0"/>
      <w:kern w:val="18"/>
      <w:sz w:val="18"/>
      <w:szCs w:val="18"/>
    </w:rPr>
  </w:style>
  <w:style w:type="paragraph" w:customStyle="1" w:styleId="87">
    <w:name w:val="五级无标题条"/>
    <w:basedOn w:val="1"/>
    <w:qFormat/>
    <w:uiPriority w:val="0"/>
    <w:pPr>
      <w:numPr>
        <w:ilvl w:val="3"/>
        <w:numId w:val="2"/>
      </w:numPr>
    </w:pPr>
    <w:rPr>
      <w:rFonts w:ascii="Times" w:hAnsi="Times" w:cs="Times New Roman"/>
      <w:snapToGrid w:val="0"/>
      <w:kern w:val="18"/>
      <w:sz w:val="18"/>
      <w:szCs w:val="18"/>
    </w:rPr>
  </w:style>
  <w:style w:type="paragraph" w:customStyle="1" w:styleId="88">
    <w:name w:val="一级无标题条"/>
    <w:basedOn w:val="1"/>
    <w:qFormat/>
    <w:uiPriority w:val="0"/>
    <w:pPr>
      <w:numPr>
        <w:ilvl w:val="4"/>
        <w:numId w:val="2"/>
      </w:numPr>
      <w:tabs>
        <w:tab w:val="left" w:pos="1440"/>
      </w:tabs>
      <w:ind w:left="1440" w:hanging="480"/>
    </w:pPr>
    <w:rPr>
      <w:rFonts w:ascii="Times" w:hAnsi="Times" w:cs="Times New Roman"/>
      <w:snapToGrid w:val="0"/>
      <w:kern w:val="18"/>
      <w:sz w:val="18"/>
      <w:szCs w:val="18"/>
    </w:rPr>
  </w:style>
  <w:style w:type="paragraph" w:customStyle="1" w:styleId="89">
    <w:name w:val="数字编号列项（二级）"/>
    <w:qFormat/>
    <w:uiPriority w:val="0"/>
    <w:pPr>
      <w:numPr>
        <w:ilvl w:val="5"/>
        <w:numId w:val="2"/>
      </w:numPr>
      <w:ind w:left="1260" w:hanging="420"/>
      <w:jc w:val="both"/>
    </w:pPr>
    <w:rPr>
      <w:rFonts w:ascii="宋体" w:hAnsi="Times New Roman" w:eastAsia="宋体" w:cs="Times New Roman"/>
      <w:sz w:val="21"/>
      <w:lang w:val="en-US" w:eastAsia="zh-CN" w:bidi="ar-SA"/>
    </w:rPr>
  </w:style>
  <w:style w:type="paragraph" w:customStyle="1" w:styleId="90">
    <w:name w:val="图表脚注"/>
    <w:next w:val="70"/>
    <w:qFormat/>
    <w:uiPriority w:val="0"/>
    <w:pPr>
      <w:numPr>
        <w:ilvl w:val="6"/>
        <w:numId w:val="2"/>
      </w:numPr>
      <w:ind w:left="300" w:hanging="100"/>
      <w:jc w:val="both"/>
    </w:pPr>
    <w:rPr>
      <w:rFonts w:ascii="宋体" w:hAnsi="Times New Roman" w:eastAsia="宋体" w:cs="Times New Roman"/>
      <w:sz w:val="18"/>
      <w:lang w:val="en-US" w:eastAsia="zh-CN" w:bidi="ar-SA"/>
    </w:rPr>
  </w:style>
  <w:style w:type="paragraph" w:customStyle="1" w:styleId="91">
    <w:name w:val="注："/>
    <w:next w:val="70"/>
    <w:qFormat/>
    <w:uiPriority w:val="0"/>
    <w:pPr>
      <w:widowControl w:val="0"/>
      <w:numPr>
        <w:ilvl w:val="2"/>
        <w:numId w:val="2"/>
      </w:numPr>
      <w:autoSpaceDE w:val="0"/>
      <w:autoSpaceDN w:val="0"/>
      <w:ind w:left="840" w:hanging="420"/>
      <w:jc w:val="both"/>
    </w:pPr>
    <w:rPr>
      <w:rFonts w:ascii="宋体" w:hAnsi="Times New Roman" w:eastAsia="宋体" w:cs="Times New Roman"/>
      <w:sz w:val="18"/>
      <w:lang w:val="en-US" w:eastAsia="zh-CN" w:bidi="ar-SA"/>
    </w:rPr>
  </w:style>
  <w:style w:type="paragraph" w:customStyle="1" w:styleId="9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3">
    <w:name w:val="正文图标题"/>
    <w:next w:val="70"/>
    <w:qFormat/>
    <w:uiPriority w:val="0"/>
    <w:pPr>
      <w:jc w:val="center"/>
    </w:pPr>
    <w:rPr>
      <w:rFonts w:ascii="黑体" w:hAnsi="Times New Roman" w:eastAsia="黑体" w:cs="Times New Roman"/>
      <w:sz w:val="21"/>
      <w:lang w:val="en-US" w:eastAsia="zh-CN" w:bidi="ar-SA"/>
    </w:rPr>
  </w:style>
  <w:style w:type="paragraph" w:customStyle="1" w:styleId="94">
    <w:name w:val="注×："/>
    <w:qFormat/>
    <w:uiPriority w:val="0"/>
    <w:pPr>
      <w:widowControl w:val="0"/>
      <w:tabs>
        <w:tab w:val="left" w:pos="630"/>
      </w:tabs>
      <w:autoSpaceDE w:val="0"/>
      <w:autoSpaceDN w:val="0"/>
      <w:ind w:left="900" w:hanging="500"/>
      <w:jc w:val="both"/>
    </w:pPr>
    <w:rPr>
      <w:rFonts w:ascii="宋体" w:hAnsi="Times New Roman" w:eastAsia="宋体" w:cs="Times New Roman"/>
      <w:sz w:val="18"/>
      <w:lang w:val="en-US" w:eastAsia="zh-CN" w:bidi="ar-SA"/>
    </w:rPr>
  </w:style>
  <w:style w:type="paragraph" w:customStyle="1" w:styleId="95">
    <w:name w:val="封面正文"/>
    <w:qFormat/>
    <w:uiPriority w:val="0"/>
    <w:pPr>
      <w:jc w:val="both"/>
    </w:pPr>
    <w:rPr>
      <w:rFonts w:ascii="Times New Roman" w:hAnsi="Times New Roman" w:eastAsia="宋体" w:cs="Times New Roman"/>
      <w:lang w:val="en-US" w:eastAsia="zh-CN" w:bidi="ar-SA"/>
    </w:rPr>
  </w:style>
  <w:style w:type="paragraph" w:customStyle="1" w:styleId="96">
    <w:name w:val="附录标识"/>
    <w:basedOn w:val="76"/>
    <w:qFormat/>
    <w:uiPriority w:val="0"/>
    <w:pPr>
      <w:tabs>
        <w:tab w:val="left" w:pos="6405"/>
      </w:tabs>
      <w:spacing w:after="200"/>
    </w:pPr>
    <w:rPr>
      <w:sz w:val="21"/>
    </w:rPr>
  </w:style>
  <w:style w:type="paragraph" w:customStyle="1" w:styleId="97">
    <w:name w:val="附录章标题"/>
    <w:next w:val="70"/>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8">
    <w:name w:val="附录一级条标题"/>
    <w:basedOn w:val="97"/>
    <w:next w:val="70"/>
    <w:qFormat/>
    <w:uiPriority w:val="0"/>
    <w:pPr>
      <w:autoSpaceDN w:val="0"/>
      <w:spacing w:beforeLines="0" w:afterLines="0"/>
      <w:outlineLvl w:val="2"/>
    </w:pPr>
  </w:style>
  <w:style w:type="paragraph" w:customStyle="1" w:styleId="99">
    <w:name w:val="附录二级条标题"/>
    <w:basedOn w:val="98"/>
    <w:next w:val="70"/>
    <w:qFormat/>
    <w:uiPriority w:val="0"/>
    <w:pPr>
      <w:outlineLvl w:val="3"/>
    </w:pPr>
  </w:style>
  <w:style w:type="paragraph" w:customStyle="1" w:styleId="100">
    <w:name w:val="附录三级条标题"/>
    <w:basedOn w:val="99"/>
    <w:next w:val="70"/>
    <w:qFormat/>
    <w:uiPriority w:val="0"/>
    <w:pPr>
      <w:outlineLvl w:val="4"/>
    </w:pPr>
  </w:style>
  <w:style w:type="paragraph" w:customStyle="1" w:styleId="101">
    <w:name w:val="附录四级条标题"/>
    <w:basedOn w:val="100"/>
    <w:next w:val="70"/>
    <w:qFormat/>
    <w:uiPriority w:val="0"/>
    <w:pPr>
      <w:outlineLvl w:val="5"/>
    </w:pPr>
  </w:style>
  <w:style w:type="paragraph" w:customStyle="1" w:styleId="102">
    <w:name w:val="附录五级条标题"/>
    <w:basedOn w:val="101"/>
    <w:next w:val="70"/>
    <w:qFormat/>
    <w:uiPriority w:val="0"/>
    <w:pPr>
      <w:outlineLvl w:val="6"/>
    </w:pPr>
  </w:style>
  <w:style w:type="paragraph" w:customStyle="1" w:styleId="103">
    <w:name w:val="列项·"/>
    <w:qFormat/>
    <w:uiPriority w:val="0"/>
    <w:pPr>
      <w:tabs>
        <w:tab w:val="left" w:pos="840"/>
      </w:tabs>
      <w:ind w:left="840" w:leftChars="200" w:hanging="420" w:hangingChars="200"/>
      <w:jc w:val="both"/>
    </w:pPr>
    <w:rPr>
      <w:rFonts w:ascii="宋体" w:hAnsi="Times New Roman" w:eastAsia="宋体" w:cs="Times New Roman"/>
      <w:sz w:val="21"/>
      <w:lang w:val="en-US" w:eastAsia="zh-CN" w:bidi="ar-SA"/>
    </w:rPr>
  </w:style>
  <w:style w:type="paragraph" w:customStyle="1" w:styleId="104">
    <w:name w:val="示例"/>
    <w:next w:val="70"/>
    <w:qFormat/>
    <w:uiPriority w:val="0"/>
    <w:pPr>
      <w:tabs>
        <w:tab w:val="left" w:pos="420"/>
        <w:tab w:val="left" w:pos="816"/>
      </w:tabs>
      <w:ind w:left="420" w:firstLine="419" w:firstLineChars="233"/>
      <w:jc w:val="both"/>
    </w:pPr>
    <w:rPr>
      <w:rFonts w:ascii="宋体" w:hAnsi="Times New Roman" w:eastAsia="宋体" w:cs="Times New Roman"/>
      <w:sz w:val="18"/>
      <w:lang w:val="en-US" w:eastAsia="zh-CN" w:bidi="ar-SA"/>
    </w:rPr>
  </w:style>
  <w:style w:type="paragraph" w:customStyle="1" w:styleId="105">
    <w:name w:val="正文表标题"/>
    <w:next w:val="70"/>
    <w:qFormat/>
    <w:uiPriority w:val="0"/>
    <w:pPr>
      <w:tabs>
        <w:tab w:val="left" w:pos="829"/>
      </w:tabs>
      <w:ind w:left="829" w:hanging="525"/>
      <w:jc w:val="center"/>
    </w:pPr>
    <w:rPr>
      <w:rFonts w:ascii="黑体" w:hAnsi="Times New Roman" w:eastAsia="黑体" w:cs="Times New Roman"/>
      <w:sz w:val="21"/>
      <w:lang w:val="en-US" w:eastAsia="zh-CN" w:bidi="ar-SA"/>
    </w:rPr>
  </w:style>
  <w:style w:type="paragraph" w:customStyle="1" w:styleId="106">
    <w:name w:val="标准书眉一"/>
    <w:qFormat/>
    <w:uiPriority w:val="0"/>
    <w:pPr>
      <w:jc w:val="both"/>
    </w:pPr>
    <w:rPr>
      <w:rFonts w:ascii="Times New Roman" w:hAnsi="Times New Roman" w:eastAsia="宋体" w:cs="Times New Roman"/>
      <w:lang w:val="en-US" w:eastAsia="zh-CN" w:bidi="ar-SA"/>
    </w:rPr>
  </w:style>
  <w:style w:type="paragraph" w:customStyle="1" w:styleId="107">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108">
    <w:name w:val="HTML 预先格式化"/>
    <w:basedOn w:val="1"/>
    <w:qFormat/>
    <w:uiPriority w:val="0"/>
    <w:rPr>
      <w:rFonts w:ascii="Courier New" w:hAnsi="Courier New" w:cs="Century"/>
      <w:snapToGrid w:val="0"/>
      <w:kern w:val="18"/>
      <w:sz w:val="20"/>
      <w:szCs w:val="20"/>
    </w:rPr>
  </w:style>
  <w:style w:type="paragraph" w:customStyle="1" w:styleId="10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11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111">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11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1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14">
    <w:name w:val="标准书眉_偶数页"/>
    <w:basedOn w:val="113"/>
    <w:next w:val="1"/>
    <w:qFormat/>
    <w:uiPriority w:val="0"/>
    <w:pPr>
      <w:jc w:val="left"/>
    </w:pPr>
  </w:style>
  <w:style w:type="paragraph" w:customStyle="1" w:styleId="115">
    <w:name w:val="参考文献、索引标题"/>
    <w:basedOn w:val="76"/>
    <w:next w:val="1"/>
    <w:qFormat/>
    <w:uiPriority w:val="0"/>
    <w:pPr>
      <w:spacing w:after="200"/>
    </w:pPr>
    <w:rPr>
      <w:sz w:val="21"/>
    </w:rPr>
  </w:style>
  <w:style w:type="paragraph" w:customStyle="1" w:styleId="116">
    <w:name w:val="发布部门"/>
    <w:next w:val="70"/>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17">
    <w:name w:val="发布日期"/>
    <w:qFormat/>
    <w:uiPriority w:val="0"/>
    <w:rPr>
      <w:rFonts w:ascii="Times New Roman" w:hAnsi="Times New Roman" w:eastAsia="黑体" w:cs="Times New Roman"/>
      <w:sz w:val="28"/>
      <w:lang w:val="en-US" w:eastAsia="zh-CN" w:bidi="ar-SA"/>
    </w:rPr>
  </w:style>
  <w:style w:type="paragraph" w:customStyle="1" w:styleId="118">
    <w:name w:val="封面标准号2"/>
    <w:basedOn w:val="92"/>
    <w:qFormat/>
    <w:uiPriority w:val="0"/>
    <w:pPr>
      <w:framePr w:w="9138" w:h="1244" w:hRule="exact" w:wrap="around" w:vAnchor="page" w:hAnchor="margin" w:y="2908"/>
      <w:adjustRightInd w:val="0"/>
      <w:spacing w:before="357" w:line="280" w:lineRule="exact"/>
    </w:pPr>
  </w:style>
  <w:style w:type="paragraph" w:customStyle="1" w:styleId="119">
    <w:name w:val="封面标准代替信息"/>
    <w:basedOn w:val="118"/>
    <w:qFormat/>
    <w:uiPriority w:val="0"/>
    <w:pPr>
      <w:framePr w:wrap="around"/>
      <w:spacing w:before="57"/>
    </w:pPr>
    <w:rPr>
      <w:rFonts w:ascii="宋体"/>
      <w:sz w:val="21"/>
    </w:rPr>
  </w:style>
  <w:style w:type="paragraph" w:customStyle="1" w:styleId="120">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1">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2">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3">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24">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25">
    <w:name w:val="附录图标题"/>
    <w:next w:val="70"/>
    <w:qFormat/>
    <w:uiPriority w:val="0"/>
    <w:pPr>
      <w:jc w:val="center"/>
    </w:pPr>
    <w:rPr>
      <w:rFonts w:ascii="黑体" w:hAnsi="Times New Roman" w:eastAsia="黑体" w:cs="Times New Roman"/>
      <w:sz w:val="21"/>
      <w:lang w:val="en-US" w:eastAsia="zh-CN" w:bidi="ar-SA"/>
    </w:rPr>
  </w:style>
  <w:style w:type="paragraph" w:customStyle="1" w:styleId="126">
    <w:name w:val="列项——"/>
    <w:qFormat/>
    <w:uiPriority w:val="0"/>
    <w:pPr>
      <w:widowControl w:val="0"/>
      <w:tabs>
        <w:tab w:val="left" w:pos="854"/>
        <w:tab w:val="left"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27">
    <w:name w:val="目次、标准名称标题"/>
    <w:basedOn w:val="76"/>
    <w:next w:val="70"/>
    <w:qFormat/>
    <w:uiPriority w:val="0"/>
    <w:pPr>
      <w:spacing w:line="460" w:lineRule="exact"/>
    </w:pPr>
  </w:style>
  <w:style w:type="paragraph" w:customStyle="1" w:styleId="12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30">
    <w:name w:val="其他发布部门"/>
    <w:basedOn w:val="116"/>
    <w:qFormat/>
    <w:uiPriority w:val="0"/>
    <w:pPr>
      <w:framePr w:wrap="around"/>
      <w:spacing w:line="0" w:lineRule="atLeast"/>
    </w:pPr>
    <w:rPr>
      <w:rFonts w:ascii="黑体" w:eastAsia="黑体"/>
      <w:b w:val="0"/>
    </w:rPr>
  </w:style>
  <w:style w:type="paragraph" w:customStyle="1" w:styleId="131">
    <w:name w:val="实施日期"/>
    <w:basedOn w:val="117"/>
    <w:qFormat/>
    <w:uiPriority w:val="0"/>
    <w:pPr>
      <w:framePr w:wrap="around" w:vAnchor="margin" w:hAnchor="text" w:xAlign="right" w:y="1"/>
      <w:jc w:val="right"/>
    </w:pPr>
  </w:style>
  <w:style w:type="paragraph" w:customStyle="1" w:styleId="132">
    <w:name w:val="条文脚注"/>
    <w:basedOn w:val="33"/>
    <w:qFormat/>
    <w:uiPriority w:val="0"/>
    <w:pPr>
      <w:ind w:left="780" w:leftChars="200" w:hanging="360" w:hangingChars="200"/>
      <w:jc w:val="both"/>
    </w:pPr>
    <w:rPr>
      <w:rFonts w:ascii="宋体"/>
    </w:rPr>
  </w:style>
  <w:style w:type="paragraph" w:customStyle="1" w:styleId="133">
    <w:name w:val="无标题条"/>
    <w:next w:val="70"/>
    <w:qFormat/>
    <w:uiPriority w:val="0"/>
    <w:pPr>
      <w:jc w:val="both"/>
    </w:pPr>
    <w:rPr>
      <w:rFonts w:ascii="Times New Roman" w:hAnsi="Times New Roman" w:eastAsia="宋体" w:cs="Times New Roman"/>
      <w:sz w:val="21"/>
      <w:lang w:val="en-US" w:eastAsia="zh-CN" w:bidi="ar-SA"/>
    </w:rPr>
  </w:style>
  <w:style w:type="paragraph" w:customStyle="1" w:styleId="134">
    <w:name w:val="图表"/>
    <w:basedOn w:val="36"/>
    <w:qFormat/>
    <w:uiPriority w:val="0"/>
    <w:pPr>
      <w:spacing w:line="400" w:lineRule="exact"/>
      <w:ind w:left="839" w:leftChars="0" w:firstLine="0" w:firstLineChars="0"/>
      <w:jc w:val="center"/>
    </w:pPr>
    <w:rPr>
      <w:sz w:val="22"/>
      <w:szCs w:val="20"/>
    </w:rPr>
  </w:style>
  <w:style w:type="paragraph" w:customStyle="1" w:styleId="135">
    <w:name w:val="a"/>
    <w:basedOn w:val="1"/>
    <w:qFormat/>
    <w:uiPriority w:val="0"/>
    <w:pPr>
      <w:widowControl/>
      <w:spacing w:before="100" w:beforeAutospacing="1" w:after="100" w:afterAutospacing="1"/>
      <w:jc w:val="left"/>
    </w:pPr>
    <w:rPr>
      <w:rFonts w:ascii="宋体" w:hAnsi="宋体" w:cs="Times New Roman"/>
      <w:kern w:val="0"/>
      <w:sz w:val="24"/>
      <w:szCs w:val="24"/>
    </w:rPr>
  </w:style>
  <w:style w:type="paragraph" w:customStyle="1" w:styleId="136">
    <w:name w:val="w正_宋五号"/>
    <w:basedOn w:val="1"/>
    <w:next w:val="1"/>
    <w:qFormat/>
    <w:uiPriority w:val="0"/>
    <w:pPr>
      <w:adjustRightInd w:val="0"/>
      <w:snapToGrid w:val="0"/>
      <w:spacing w:line="360" w:lineRule="auto"/>
      <w:ind w:firstLine="200" w:firstLineChars="200"/>
    </w:pPr>
    <w:rPr>
      <w:rFonts w:ascii="Times New Roman" w:hAnsi="Times New Roman" w:cs="Times New Roman"/>
      <w:szCs w:val="21"/>
    </w:rPr>
  </w:style>
  <w:style w:type="paragraph" w:customStyle="1" w:styleId="137">
    <w:name w:val="缩进"/>
    <w:basedOn w:val="17"/>
    <w:qFormat/>
    <w:uiPriority w:val="0"/>
    <w:pPr>
      <w:keepNext/>
      <w:tabs>
        <w:tab w:val="left" w:pos="1140"/>
      </w:tabs>
      <w:spacing w:line="360" w:lineRule="auto"/>
      <w:ind w:left="1888" w:hanging="357"/>
    </w:pPr>
    <w:rPr>
      <w:rFonts w:ascii="Times New Roman"/>
      <w:sz w:val="21"/>
    </w:rPr>
  </w:style>
  <w:style w:type="paragraph" w:customStyle="1" w:styleId="138">
    <w:name w:val="并列"/>
    <w:basedOn w:val="1"/>
    <w:qFormat/>
    <w:uiPriority w:val="0"/>
    <w:pPr>
      <w:widowControl/>
      <w:tabs>
        <w:tab w:val="left" w:pos="1140"/>
      </w:tabs>
      <w:adjustRightInd w:val="0"/>
      <w:snapToGrid w:val="0"/>
      <w:spacing w:line="440" w:lineRule="atLeast"/>
      <w:ind w:left="1140" w:hanging="720"/>
      <w:jc w:val="left"/>
    </w:pPr>
    <w:rPr>
      <w:rFonts w:ascii="Times New Roman" w:hAnsi="宋体" w:cs="Times New Roman"/>
      <w:kern w:val="0"/>
      <w:sz w:val="24"/>
      <w:szCs w:val="24"/>
    </w:rPr>
  </w:style>
  <w:style w:type="paragraph" w:customStyle="1" w:styleId="139">
    <w:name w:val="标题10"/>
    <w:basedOn w:val="1"/>
    <w:next w:val="1"/>
    <w:qFormat/>
    <w:uiPriority w:val="0"/>
    <w:pPr>
      <w:tabs>
        <w:tab w:val="left" w:pos="900"/>
        <w:tab w:val="right" w:leader="dot" w:pos="10194"/>
      </w:tabs>
      <w:ind w:left="900" w:firstLine="200" w:firstLineChars="200"/>
    </w:pPr>
    <w:rPr>
      <w:rFonts w:ascii="楷体_GB2312" w:hAnsi="Times New Roman" w:cs="Times New Roman"/>
      <w:b/>
      <w:sz w:val="44"/>
      <w:szCs w:val="20"/>
    </w:rPr>
  </w:style>
  <w:style w:type="paragraph" w:customStyle="1" w:styleId="140">
    <w:name w:val="强调使用"/>
    <w:qFormat/>
    <w:uiPriority w:val="0"/>
    <w:pPr>
      <w:spacing w:before="60" w:after="40" w:line="280" w:lineRule="exact"/>
      <w:ind w:left="851"/>
    </w:pPr>
    <w:rPr>
      <w:rFonts w:ascii="Times New Roman" w:hAnsi="Times New Roman" w:eastAsia="文鼎细圆简" w:cs="Times New Roman"/>
      <w:b/>
      <w:sz w:val="21"/>
      <w:lang w:val="en-US" w:eastAsia="zh-CN" w:bidi="ar-SA"/>
    </w:rPr>
  </w:style>
  <w:style w:type="paragraph" w:customStyle="1" w:styleId="141">
    <w:name w:val="条目1）"/>
    <w:basedOn w:val="69"/>
    <w:qFormat/>
    <w:uiPriority w:val="0"/>
    <w:pPr>
      <w:tabs>
        <w:tab w:val="left" w:pos="720"/>
      </w:tabs>
      <w:ind w:firstLine="0" w:firstLineChars="0"/>
    </w:pPr>
    <w:rPr>
      <w:szCs w:val="24"/>
    </w:rPr>
  </w:style>
  <w:style w:type="paragraph" w:customStyle="1" w:styleId="142">
    <w:name w:val="大项说明"/>
    <w:qFormat/>
    <w:uiPriority w:val="0"/>
    <w:pPr>
      <w:tabs>
        <w:tab w:val="left" w:pos="840"/>
      </w:tabs>
      <w:spacing w:before="40" w:line="260" w:lineRule="exact"/>
      <w:ind w:left="840" w:hanging="420"/>
      <w:jc w:val="both"/>
    </w:pPr>
    <w:rPr>
      <w:rFonts w:ascii="Times New Roman" w:hAnsi="Times New Roman" w:eastAsia="文鼎细圆简" w:cs="Times New Roman"/>
      <w:sz w:val="21"/>
      <w:lang w:val="en-US" w:eastAsia="zh-CN" w:bidi="ar-SA"/>
    </w:rPr>
  </w:style>
  <w:style w:type="paragraph" w:customStyle="1" w:styleId="143">
    <w:name w:val="小项说明"/>
    <w:qFormat/>
    <w:uiPriority w:val="0"/>
    <w:pPr>
      <w:tabs>
        <w:tab w:val="left" w:pos="1140"/>
      </w:tabs>
      <w:spacing w:before="20" w:line="260" w:lineRule="exact"/>
      <w:ind w:left="1140" w:hanging="360"/>
      <w:jc w:val="both"/>
    </w:pPr>
    <w:rPr>
      <w:rFonts w:ascii="Times New Roman" w:hAnsi="Times New Roman" w:eastAsia="文鼎细圆简" w:cs="Times New Roman"/>
      <w:lang w:val="en-US" w:eastAsia="zh-CN" w:bidi="ar-SA"/>
    </w:rPr>
  </w:style>
  <w:style w:type="paragraph" w:customStyle="1" w:styleId="144">
    <w:name w:val="编号1"/>
    <w:qFormat/>
    <w:uiPriority w:val="0"/>
    <w:pPr>
      <w:spacing w:before="40" w:line="260" w:lineRule="exact"/>
      <w:ind w:left="1220" w:hanging="369"/>
      <w:jc w:val="both"/>
    </w:pPr>
    <w:rPr>
      <w:rFonts w:ascii="Times New Roman" w:hAnsi="Times New Roman" w:eastAsia="文鼎细圆简" w:cs="Times New Roman"/>
      <w:sz w:val="21"/>
      <w:lang w:val="en-US" w:eastAsia="zh-CN" w:bidi="ar-SA"/>
    </w:rPr>
  </w:style>
  <w:style w:type="paragraph" w:customStyle="1" w:styleId="145">
    <w:name w:val="表格文字"/>
    <w:basedOn w:val="18"/>
    <w:qFormat/>
    <w:uiPriority w:val="0"/>
    <w:pPr>
      <w:spacing w:before="20" w:after="20"/>
      <w:ind w:firstLine="0" w:firstLineChars="0"/>
    </w:pPr>
    <w:rPr>
      <w:rFonts w:ascii="Arial" w:hAnsi="Arial" w:eastAsia="宋体"/>
      <w:sz w:val="24"/>
      <w:szCs w:val="20"/>
    </w:rPr>
  </w:style>
  <w:style w:type="paragraph" w:customStyle="1" w:styleId="146">
    <w:name w:val="字段解释标题"/>
    <w:basedOn w:val="1"/>
    <w:next w:val="7"/>
    <w:qFormat/>
    <w:uiPriority w:val="0"/>
    <w:pPr>
      <w:autoSpaceDE w:val="0"/>
      <w:autoSpaceDN w:val="0"/>
      <w:adjustRightInd w:val="0"/>
    </w:pPr>
    <w:rPr>
      <w:rFonts w:ascii="Times-Roman" w:hAnsi="Times-Roman" w:cs="Times New Roman"/>
      <w:b/>
      <w:szCs w:val="20"/>
    </w:rPr>
  </w:style>
  <w:style w:type="paragraph" w:customStyle="1" w:styleId="147">
    <w:name w:val="样式 样式 加粗 行距: 1.5 倍行距 + 首行缩进:  2 字符"/>
    <w:basedOn w:val="1"/>
    <w:qFormat/>
    <w:uiPriority w:val="0"/>
    <w:pPr>
      <w:spacing w:line="360" w:lineRule="auto"/>
      <w:ind w:left="840" w:leftChars="400"/>
      <w:jc w:val="left"/>
    </w:pPr>
    <w:rPr>
      <w:rFonts w:ascii="Times New Roman" w:hAnsi="Times New Roman" w:cs="宋体"/>
      <w:b/>
      <w:bCs/>
      <w:sz w:val="24"/>
      <w:szCs w:val="24"/>
    </w:rPr>
  </w:style>
  <w:style w:type="paragraph" w:customStyle="1" w:styleId="148">
    <w:name w:val="font5"/>
    <w:basedOn w:val="1"/>
    <w:qFormat/>
    <w:uiPriority w:val="0"/>
    <w:pPr>
      <w:widowControl/>
      <w:spacing w:before="100" w:beforeAutospacing="1" w:after="100" w:afterAutospacing="1"/>
      <w:jc w:val="left"/>
    </w:pPr>
    <w:rPr>
      <w:rFonts w:hint="eastAsia" w:ascii="宋体" w:hAnsi="宋体" w:cs="Times New Roman"/>
      <w:kern w:val="0"/>
      <w:sz w:val="18"/>
      <w:szCs w:val="18"/>
    </w:rPr>
  </w:style>
  <w:style w:type="paragraph" w:customStyle="1" w:styleId="149">
    <w:name w:val="font6"/>
    <w:basedOn w:val="1"/>
    <w:qFormat/>
    <w:uiPriority w:val="0"/>
    <w:pPr>
      <w:widowControl/>
      <w:spacing w:before="100" w:beforeAutospacing="1" w:after="100" w:afterAutospacing="1"/>
      <w:jc w:val="left"/>
    </w:pPr>
    <w:rPr>
      <w:rFonts w:hint="eastAsia" w:ascii="宋体" w:hAnsi="宋体" w:cs="Times New Roman"/>
      <w:kern w:val="0"/>
      <w:sz w:val="20"/>
      <w:szCs w:val="20"/>
    </w:rPr>
  </w:style>
  <w:style w:type="paragraph" w:customStyle="1" w:styleId="150">
    <w:name w:val="font7"/>
    <w:basedOn w:val="1"/>
    <w:qFormat/>
    <w:uiPriority w:val="0"/>
    <w:pPr>
      <w:widowControl/>
      <w:spacing w:before="100" w:beforeAutospacing="1" w:after="100" w:afterAutospacing="1"/>
      <w:jc w:val="left"/>
    </w:pPr>
    <w:rPr>
      <w:rFonts w:ascii="Times New Roman" w:hAnsi="Times New Roman" w:cs="Times New Roman"/>
      <w:kern w:val="0"/>
      <w:sz w:val="20"/>
      <w:szCs w:val="20"/>
    </w:rPr>
  </w:style>
  <w:style w:type="paragraph" w:customStyle="1" w:styleId="151">
    <w:name w:val="xl22"/>
    <w:basedOn w:val="1"/>
    <w:qFormat/>
    <w:uiPriority w:val="0"/>
    <w:pPr>
      <w:widowControl/>
      <w:numPr>
        <w:ilvl w:val="0"/>
        <w:numId w:val="3"/>
      </w:numPr>
      <w:pBdr>
        <w:top w:val="single" w:color="auto" w:sz="8" w:space="0"/>
        <w:left w:val="single" w:color="auto" w:sz="8" w:space="0"/>
        <w:right w:val="single" w:color="auto" w:sz="8" w:space="0"/>
      </w:pBdr>
      <w:shd w:val="clear" w:color="auto" w:fill="C0C0C0"/>
      <w:spacing w:before="100" w:beforeAutospacing="1" w:after="100" w:afterAutospacing="1"/>
      <w:ind w:left="0" w:firstLine="0"/>
      <w:jc w:val="center"/>
      <w:textAlignment w:val="center"/>
    </w:pPr>
    <w:rPr>
      <w:rFonts w:ascii="宋体" w:hAnsi="宋体" w:cs="Times New Roman"/>
      <w:b/>
      <w:bCs/>
      <w:kern w:val="0"/>
      <w:sz w:val="18"/>
      <w:szCs w:val="18"/>
    </w:rPr>
  </w:style>
  <w:style w:type="paragraph" w:customStyle="1" w:styleId="152">
    <w:name w:val="xl23"/>
    <w:basedOn w:val="1"/>
    <w:qFormat/>
    <w:uiPriority w:val="0"/>
    <w:pPr>
      <w:widowControl/>
      <w:pBdr>
        <w:top w:val="single" w:color="auto" w:sz="8" w:space="0"/>
        <w:right w:val="single" w:color="auto" w:sz="8" w:space="0"/>
      </w:pBdr>
      <w:shd w:val="clear" w:color="auto" w:fill="C0C0C0"/>
      <w:spacing w:before="100" w:beforeAutospacing="1" w:after="100" w:afterAutospacing="1"/>
      <w:jc w:val="center"/>
      <w:textAlignment w:val="center"/>
    </w:pPr>
    <w:rPr>
      <w:rFonts w:ascii="宋体" w:hAnsi="宋体" w:cs="Times New Roman"/>
      <w:b/>
      <w:bCs/>
      <w:kern w:val="0"/>
      <w:sz w:val="18"/>
      <w:szCs w:val="18"/>
    </w:rPr>
  </w:style>
  <w:style w:type="paragraph" w:customStyle="1" w:styleId="153">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kern w:val="0"/>
      <w:sz w:val="20"/>
      <w:szCs w:val="20"/>
    </w:rPr>
  </w:style>
  <w:style w:type="paragraph" w:customStyle="1" w:styleId="15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15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4"/>
      <w:szCs w:val="24"/>
    </w:rPr>
  </w:style>
  <w:style w:type="paragraph" w:customStyle="1" w:styleId="156">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4"/>
      <w:szCs w:val="24"/>
    </w:rPr>
  </w:style>
  <w:style w:type="paragraph" w:customStyle="1" w:styleId="157">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color w:val="FF0000"/>
      <w:kern w:val="0"/>
      <w:sz w:val="20"/>
      <w:szCs w:val="20"/>
    </w:rPr>
  </w:style>
  <w:style w:type="paragraph" w:customStyle="1" w:styleId="158">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4"/>
      <w:szCs w:val="24"/>
    </w:rPr>
  </w:style>
  <w:style w:type="paragraph" w:customStyle="1" w:styleId="159">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color w:val="FF0000"/>
      <w:kern w:val="0"/>
      <w:sz w:val="20"/>
      <w:szCs w:val="20"/>
    </w:rPr>
  </w:style>
  <w:style w:type="paragraph" w:customStyle="1" w:styleId="1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4"/>
      <w:szCs w:val="24"/>
    </w:rPr>
  </w:style>
  <w:style w:type="paragraph" w:customStyle="1" w:styleId="161">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162">
    <w:name w:val="xl3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Times New Roman"/>
      <w:kern w:val="0"/>
      <w:sz w:val="20"/>
      <w:szCs w:val="20"/>
    </w:rPr>
  </w:style>
  <w:style w:type="paragraph" w:customStyle="1" w:styleId="163">
    <w:name w:val="xl35"/>
    <w:basedOn w:val="1"/>
    <w:qFormat/>
    <w:uiPriority w:val="0"/>
    <w:pPr>
      <w:widowControl/>
      <w:pBdr>
        <w:top w:val="single" w:color="auto" w:sz="4" w:space="0"/>
        <w:bottom w:val="single" w:color="auto" w:sz="4" w:space="0"/>
        <w:right w:val="single" w:color="auto" w:sz="4" w:space="0"/>
      </w:pBdr>
      <w:spacing w:before="100" w:beforeAutospacing="1" w:after="100" w:afterAutospacing="1"/>
      <w:textAlignment w:val="top"/>
    </w:pPr>
    <w:rPr>
      <w:rFonts w:ascii="Times New Roman" w:hAnsi="Times New Roman" w:cs="Times New Roman"/>
      <w:kern w:val="0"/>
      <w:sz w:val="20"/>
      <w:szCs w:val="20"/>
    </w:rPr>
  </w:style>
  <w:style w:type="paragraph" w:customStyle="1" w:styleId="164">
    <w:name w:val="xl36"/>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cs="Times New Roman"/>
      <w:kern w:val="0"/>
      <w:sz w:val="20"/>
      <w:szCs w:val="20"/>
    </w:rPr>
  </w:style>
  <w:style w:type="paragraph" w:customStyle="1" w:styleId="165">
    <w:name w:val="xl37"/>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ascii="宋体" w:hAnsi="宋体" w:cs="Times New Roman"/>
      <w:kern w:val="0"/>
      <w:sz w:val="20"/>
      <w:szCs w:val="20"/>
    </w:rPr>
  </w:style>
  <w:style w:type="paragraph" w:customStyle="1" w:styleId="166">
    <w:name w:val="xl38"/>
    <w:basedOn w:val="1"/>
    <w:qFormat/>
    <w:uiPriority w:val="0"/>
    <w:pPr>
      <w:widowControl/>
      <w:pBdr>
        <w:bottom w:val="single" w:color="auto" w:sz="4" w:space="0"/>
        <w:right w:val="single" w:color="auto" w:sz="4" w:space="0"/>
      </w:pBdr>
      <w:spacing w:before="100" w:beforeAutospacing="1" w:after="100" w:afterAutospacing="1"/>
      <w:textAlignment w:val="top"/>
    </w:pPr>
    <w:rPr>
      <w:rFonts w:ascii="宋体" w:hAnsi="宋体" w:cs="Times New Roman"/>
      <w:kern w:val="0"/>
      <w:sz w:val="20"/>
      <w:szCs w:val="20"/>
    </w:rPr>
  </w:style>
  <w:style w:type="paragraph" w:customStyle="1" w:styleId="167">
    <w:name w:val="xl39"/>
    <w:basedOn w:val="1"/>
    <w:qFormat/>
    <w:uiPriority w:val="0"/>
    <w:pPr>
      <w:widowControl/>
      <w:pBdr>
        <w:bottom w:val="single" w:color="auto" w:sz="4" w:space="0"/>
        <w:right w:val="single" w:color="auto" w:sz="4" w:space="0"/>
      </w:pBdr>
      <w:spacing w:before="100" w:beforeAutospacing="1" w:after="100" w:afterAutospacing="1"/>
      <w:textAlignment w:val="top"/>
    </w:pPr>
    <w:rPr>
      <w:rFonts w:ascii="Times New Roman" w:hAnsi="Times New Roman" w:cs="Times New Roman"/>
      <w:kern w:val="0"/>
      <w:sz w:val="20"/>
      <w:szCs w:val="20"/>
    </w:rPr>
  </w:style>
  <w:style w:type="paragraph" w:customStyle="1" w:styleId="168">
    <w:name w:val="xl40"/>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ascii="Times New Roman" w:hAnsi="Times New Roman" w:cs="Times New Roman"/>
      <w:kern w:val="0"/>
      <w:sz w:val="20"/>
      <w:szCs w:val="20"/>
    </w:rPr>
  </w:style>
  <w:style w:type="paragraph" w:customStyle="1" w:styleId="169">
    <w:name w:val="xl41"/>
    <w:basedOn w:val="1"/>
    <w:qFormat/>
    <w:uiPriority w:val="0"/>
    <w:pPr>
      <w:widowControl/>
      <w:spacing w:before="100" w:beforeAutospacing="1" w:after="100" w:afterAutospacing="1"/>
      <w:jc w:val="left"/>
    </w:pPr>
    <w:rPr>
      <w:rFonts w:ascii="宋体" w:hAnsi="宋体" w:cs="Times New Roman"/>
      <w:kern w:val="0"/>
      <w:szCs w:val="21"/>
    </w:rPr>
  </w:style>
  <w:style w:type="paragraph" w:customStyle="1" w:styleId="170">
    <w:name w:val="前缩"/>
    <w:basedOn w:val="1"/>
    <w:qFormat/>
    <w:uiPriority w:val="0"/>
    <w:pPr>
      <w:widowControl/>
      <w:tabs>
        <w:tab w:val="left" w:pos="1440"/>
      </w:tabs>
      <w:adjustRightInd w:val="0"/>
      <w:spacing w:before="40" w:line="260" w:lineRule="exact"/>
      <w:ind w:left="1843" w:hanging="432"/>
      <w:textAlignment w:val="baseline"/>
    </w:pPr>
    <w:rPr>
      <w:rFonts w:ascii="Times New Roman" w:hAnsi="Times New Roman" w:eastAsia="文鼎细圆简" w:cs="Times New Roman"/>
      <w:kern w:val="0"/>
      <w:sz w:val="20"/>
      <w:szCs w:val="20"/>
    </w:rPr>
  </w:style>
  <w:style w:type="paragraph" w:customStyle="1" w:styleId="171">
    <w:name w:val="图标"/>
    <w:qFormat/>
    <w:uiPriority w:val="0"/>
    <w:pPr>
      <w:spacing w:line="220" w:lineRule="exact"/>
      <w:ind w:left="851"/>
      <w:jc w:val="center"/>
    </w:pPr>
    <w:rPr>
      <w:rFonts w:ascii="Times New Roman" w:hAnsi="Times New Roman" w:eastAsia="文鼎细圆简" w:cs="Times New Roman"/>
      <w:lang w:val="en-US" w:eastAsia="zh-CN" w:bidi="ar-SA"/>
    </w:rPr>
  </w:style>
  <w:style w:type="paragraph" w:customStyle="1" w:styleId="172">
    <w:name w:val="正文格式"/>
    <w:basedOn w:val="1"/>
    <w:qFormat/>
    <w:uiPriority w:val="0"/>
    <w:pPr>
      <w:ind w:firstLine="420" w:firstLineChars="200"/>
    </w:pPr>
    <w:rPr>
      <w:rFonts w:ascii="宋体" w:hAnsi="宋体" w:cs="Times New Roman"/>
      <w:szCs w:val="20"/>
    </w:rPr>
  </w:style>
  <w:style w:type="paragraph" w:customStyle="1" w:styleId="173">
    <w:name w:val="表体"/>
    <w:basedOn w:val="1"/>
    <w:qFormat/>
    <w:uiPriority w:val="0"/>
    <w:pPr>
      <w:widowControl/>
      <w:adjustRightInd w:val="0"/>
      <w:spacing w:before="40" w:line="260" w:lineRule="exact"/>
      <w:ind w:left="851"/>
      <w:textAlignment w:val="baseline"/>
    </w:pPr>
    <w:rPr>
      <w:rFonts w:ascii="Times New Roman" w:hAnsi="Times New Roman" w:eastAsia="文鼎细圆简" w:cs="宋体"/>
      <w:kern w:val="0"/>
      <w:szCs w:val="20"/>
    </w:rPr>
  </w:style>
  <w:style w:type="paragraph" w:customStyle="1" w:styleId="174">
    <w:name w:val="Char Char"/>
    <w:basedOn w:val="1"/>
    <w:qFormat/>
    <w:uiPriority w:val="0"/>
    <w:rPr>
      <w:rFonts w:ascii="Tahoma" w:hAnsi="Tahoma" w:cs="Times New Roman"/>
      <w:sz w:val="24"/>
      <w:szCs w:val="24"/>
    </w:rPr>
  </w:style>
  <w:style w:type="paragraph" w:customStyle="1" w:styleId="175">
    <w:name w:val="文档正文"/>
    <w:basedOn w:val="1"/>
    <w:qFormat/>
    <w:uiPriority w:val="0"/>
    <w:pPr>
      <w:tabs>
        <w:tab w:val="left" w:pos="360"/>
      </w:tabs>
      <w:adjustRightInd w:val="0"/>
      <w:spacing w:line="360" w:lineRule="auto"/>
      <w:ind w:firstLine="567"/>
      <w:textAlignment w:val="baseline"/>
    </w:pPr>
    <w:rPr>
      <w:rFonts w:ascii="Arial" w:hAnsi="Arial" w:cs="Times New Roman"/>
      <w:kern w:val="0"/>
      <w:sz w:val="24"/>
      <w:szCs w:val="24"/>
    </w:rPr>
  </w:style>
  <w:style w:type="paragraph" w:customStyle="1" w:styleId="176">
    <w:name w:val="条目１"/>
    <w:basedOn w:val="1"/>
    <w:qFormat/>
    <w:uiPriority w:val="0"/>
    <w:pPr>
      <w:widowControl/>
      <w:tabs>
        <w:tab w:val="left" w:pos="900"/>
      </w:tabs>
      <w:adjustRightInd w:val="0"/>
      <w:spacing w:before="40" w:line="260" w:lineRule="exact"/>
      <w:ind w:left="900" w:hanging="420"/>
      <w:textAlignment w:val="baseline"/>
    </w:pPr>
    <w:rPr>
      <w:rFonts w:ascii="Times New Roman" w:hAnsi="Times New Roman" w:eastAsia="文鼎细圆简" w:cs="Times New Roman"/>
      <w:b/>
      <w:kern w:val="0"/>
      <w:sz w:val="24"/>
      <w:szCs w:val="20"/>
    </w:rPr>
  </w:style>
  <w:style w:type="paragraph" w:customStyle="1" w:styleId="177">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7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79">
    <w:name w:val="xl44"/>
    <w:basedOn w:val="1"/>
    <w:qFormat/>
    <w:uiPriority w:val="0"/>
    <w:pPr>
      <w:widowControl/>
      <w:pBdr>
        <w:top w:val="single" w:color="auto" w:sz="4" w:space="0"/>
        <w:left w:val="single" w:color="auto" w:sz="4" w:space="0"/>
        <w:right w:val="single" w:color="auto" w:sz="4" w:space="0"/>
      </w:pBdr>
      <w:shd w:val="clear" w:color="auto" w:fill="000000"/>
      <w:spacing w:before="100" w:beforeAutospacing="1" w:after="100" w:afterAutospacing="1"/>
      <w:jc w:val="center"/>
    </w:pPr>
    <w:rPr>
      <w:rFonts w:ascii="宋体" w:hAnsi="宋体" w:cs="宋体"/>
      <w:b/>
      <w:bCs/>
      <w:color w:val="FFFFFF"/>
      <w:kern w:val="0"/>
      <w:sz w:val="18"/>
      <w:szCs w:val="18"/>
    </w:rPr>
  </w:style>
  <w:style w:type="paragraph" w:customStyle="1" w:styleId="180">
    <w:name w:val="xl45"/>
    <w:basedOn w:val="1"/>
    <w:qFormat/>
    <w:uiPriority w:val="0"/>
    <w:pPr>
      <w:widowControl/>
      <w:pBdr>
        <w:left w:val="single" w:color="auto" w:sz="4" w:space="0"/>
        <w:bottom w:val="single" w:color="auto" w:sz="4" w:space="0"/>
        <w:right w:val="single" w:color="auto" w:sz="4" w:space="0"/>
      </w:pBdr>
      <w:shd w:val="clear" w:color="auto" w:fill="000000"/>
      <w:spacing w:before="100" w:beforeAutospacing="1" w:after="100" w:afterAutospacing="1"/>
      <w:jc w:val="center"/>
    </w:pPr>
    <w:rPr>
      <w:rFonts w:ascii="宋体" w:hAnsi="宋体" w:cs="宋体"/>
      <w:b/>
      <w:bCs/>
      <w:color w:val="FFFFFF"/>
      <w:kern w:val="0"/>
      <w:sz w:val="18"/>
      <w:szCs w:val="18"/>
    </w:rPr>
  </w:style>
  <w:style w:type="paragraph" w:customStyle="1" w:styleId="181">
    <w:name w:val="xl46"/>
    <w:basedOn w:val="1"/>
    <w:qFormat/>
    <w:uiPriority w:val="0"/>
    <w:pPr>
      <w:widowControl/>
      <w:numPr>
        <w:ilvl w:val="0"/>
        <w:numId w:val="4"/>
      </w:numPr>
      <w:pBdr>
        <w:top w:val="single" w:color="auto" w:sz="4" w:space="0"/>
        <w:left w:val="single" w:color="auto" w:sz="4" w:space="0"/>
        <w:right w:val="single" w:color="auto" w:sz="4" w:space="0"/>
      </w:pBdr>
      <w:shd w:val="clear" w:color="auto" w:fill="000000"/>
      <w:spacing w:before="100" w:beforeAutospacing="1" w:after="100" w:afterAutospacing="1"/>
      <w:ind w:left="0" w:firstLine="0"/>
      <w:jc w:val="center"/>
    </w:pPr>
    <w:rPr>
      <w:rFonts w:ascii="宋体" w:hAnsi="宋体" w:cs="宋体"/>
      <w:b/>
      <w:bCs/>
      <w:color w:val="FFFFFF"/>
      <w:kern w:val="0"/>
      <w:sz w:val="18"/>
      <w:szCs w:val="18"/>
    </w:rPr>
  </w:style>
  <w:style w:type="paragraph" w:customStyle="1" w:styleId="182">
    <w:name w:val="xl47"/>
    <w:basedOn w:val="1"/>
    <w:qFormat/>
    <w:uiPriority w:val="0"/>
    <w:pPr>
      <w:widowControl/>
      <w:pBdr>
        <w:left w:val="single" w:color="auto" w:sz="4" w:space="0"/>
        <w:bottom w:val="single" w:color="auto" w:sz="4" w:space="0"/>
        <w:right w:val="single" w:color="auto" w:sz="4" w:space="0"/>
      </w:pBdr>
      <w:shd w:val="clear" w:color="auto" w:fill="000000"/>
      <w:spacing w:before="100" w:beforeAutospacing="1" w:after="100" w:afterAutospacing="1"/>
      <w:jc w:val="center"/>
    </w:pPr>
    <w:rPr>
      <w:rFonts w:ascii="宋体" w:hAnsi="宋体" w:cs="宋体"/>
      <w:b/>
      <w:bCs/>
      <w:color w:val="FFFFFF"/>
      <w:kern w:val="0"/>
      <w:sz w:val="18"/>
      <w:szCs w:val="18"/>
    </w:rPr>
  </w:style>
  <w:style w:type="paragraph" w:customStyle="1" w:styleId="183">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宋体" w:hAnsi="宋体" w:cs="宋体"/>
      <w:color w:val="000000"/>
      <w:kern w:val="0"/>
      <w:sz w:val="20"/>
      <w:szCs w:val="20"/>
    </w:rPr>
  </w:style>
  <w:style w:type="paragraph" w:customStyle="1" w:styleId="184">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0"/>
      <w:szCs w:val="20"/>
    </w:rPr>
  </w:style>
  <w:style w:type="paragraph" w:customStyle="1" w:styleId="185">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18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187">
    <w:name w:val="样式 首行缩进:  2 字符"/>
    <w:basedOn w:val="1"/>
    <w:qFormat/>
    <w:uiPriority w:val="0"/>
    <w:pPr>
      <w:widowControl/>
      <w:numPr>
        <w:ilvl w:val="0"/>
        <w:numId w:val="5"/>
      </w:numPr>
      <w:adjustRightInd w:val="0"/>
      <w:spacing w:before="40" w:line="260" w:lineRule="exact"/>
      <w:ind w:left="851" w:firstLine="420"/>
      <w:textAlignment w:val="baseline"/>
    </w:pPr>
    <w:rPr>
      <w:rFonts w:ascii="Times New Roman" w:hAnsi="Times New Roman" w:eastAsia="文鼎细圆简" w:cs="宋体"/>
      <w:kern w:val="0"/>
      <w:szCs w:val="20"/>
    </w:rPr>
  </w:style>
  <w:style w:type="paragraph" w:customStyle="1" w:styleId="188">
    <w:name w:val="样式1"/>
    <w:basedOn w:val="1"/>
    <w:qFormat/>
    <w:uiPriority w:val="0"/>
    <w:pPr>
      <w:widowControl/>
      <w:adjustRightInd w:val="0"/>
      <w:spacing w:before="40" w:line="260" w:lineRule="exact"/>
      <w:ind w:left="851"/>
      <w:textAlignment w:val="baseline"/>
    </w:pPr>
    <w:rPr>
      <w:rFonts w:ascii="Times New Roman" w:hAnsi="Times New Roman" w:eastAsia="文鼎细圆简" w:cs="Times New Roman"/>
      <w:kern w:val="0"/>
      <w:szCs w:val="20"/>
    </w:rPr>
  </w:style>
  <w:style w:type="paragraph" w:customStyle="1" w:styleId="189">
    <w:name w:val="Char Char Char Char"/>
    <w:basedOn w:val="1"/>
    <w:qFormat/>
    <w:uiPriority w:val="0"/>
    <w:pPr>
      <w:widowControl/>
      <w:spacing w:beforeLines="100" w:after="160" w:line="240" w:lineRule="exact"/>
      <w:jc w:val="left"/>
    </w:pPr>
    <w:rPr>
      <w:rFonts w:ascii="Verdana" w:hAnsi="Verdana" w:cs="Times New Roman"/>
      <w:kern w:val="0"/>
      <w:sz w:val="20"/>
      <w:szCs w:val="20"/>
      <w:lang w:eastAsia="en-US"/>
    </w:rPr>
  </w:style>
  <w:style w:type="paragraph" w:customStyle="1" w:styleId="190">
    <w:name w:val="15"/>
    <w:basedOn w:val="1"/>
    <w:next w:val="23"/>
    <w:qFormat/>
    <w:uiPriority w:val="0"/>
    <w:rPr>
      <w:rFonts w:ascii="宋体" w:hAnsi="Courier New" w:cs="Courier New"/>
      <w:szCs w:val="21"/>
    </w:rPr>
  </w:style>
  <w:style w:type="paragraph" w:customStyle="1" w:styleId="191">
    <w:name w:val="10"/>
    <w:basedOn w:val="1"/>
    <w:next w:val="23"/>
    <w:qFormat/>
    <w:uiPriority w:val="0"/>
    <w:rPr>
      <w:rFonts w:ascii="宋体" w:hAnsi="Courier New" w:cs="Courier New"/>
      <w:szCs w:val="21"/>
    </w:rPr>
  </w:style>
  <w:style w:type="paragraph" w:customStyle="1" w:styleId="192">
    <w:name w:val="9"/>
    <w:basedOn w:val="1"/>
    <w:next w:val="2"/>
    <w:qFormat/>
    <w:uiPriority w:val="0"/>
    <w:pPr>
      <w:spacing w:after="120"/>
    </w:pPr>
    <w:rPr>
      <w:rFonts w:ascii="Times New Roman" w:hAnsi="Times New Roman" w:cs="Times New Roman"/>
      <w:sz w:val="16"/>
      <w:szCs w:val="16"/>
    </w:rPr>
  </w:style>
  <w:style w:type="paragraph" w:customStyle="1" w:styleId="193">
    <w:name w:val="8"/>
    <w:basedOn w:val="1"/>
    <w:next w:val="23"/>
    <w:qFormat/>
    <w:uiPriority w:val="0"/>
    <w:rPr>
      <w:rFonts w:ascii="宋体" w:hAnsi="Courier New" w:cs="Courier New"/>
      <w:szCs w:val="21"/>
    </w:rPr>
  </w:style>
  <w:style w:type="paragraph" w:customStyle="1" w:styleId="194">
    <w:name w:val="7"/>
    <w:basedOn w:val="1"/>
    <w:next w:val="7"/>
    <w:qFormat/>
    <w:uiPriority w:val="0"/>
    <w:pPr>
      <w:spacing w:before="60" w:after="60" w:line="400" w:lineRule="exact"/>
      <w:ind w:firstLine="420"/>
    </w:pPr>
    <w:rPr>
      <w:rFonts w:ascii="Times New Roman" w:hAnsi="Times New Roman" w:cs="Times New Roman"/>
      <w:spacing w:val="10"/>
      <w:sz w:val="24"/>
      <w:szCs w:val="20"/>
    </w:rPr>
  </w:style>
  <w:style w:type="paragraph" w:customStyle="1" w:styleId="195">
    <w:name w:val="6"/>
    <w:basedOn w:val="1"/>
    <w:qFormat/>
    <w:uiPriority w:val="0"/>
    <w:rPr>
      <w:rFonts w:ascii="Times New Roman" w:hAnsi="Times New Roman" w:cs="Times New Roman"/>
      <w:szCs w:val="24"/>
    </w:rPr>
  </w:style>
  <w:style w:type="paragraph" w:customStyle="1" w:styleId="196">
    <w:name w:val="5"/>
    <w:basedOn w:val="1"/>
    <w:qFormat/>
    <w:uiPriority w:val="0"/>
    <w:pPr>
      <w:spacing w:after="120" w:line="480" w:lineRule="auto"/>
    </w:pPr>
    <w:rPr>
      <w:rFonts w:ascii="Times" w:hAnsi="Times" w:cs="Times New Roman"/>
      <w:snapToGrid w:val="0"/>
      <w:kern w:val="18"/>
      <w:sz w:val="18"/>
      <w:szCs w:val="18"/>
    </w:rPr>
  </w:style>
  <w:style w:type="paragraph" w:customStyle="1" w:styleId="197">
    <w:name w:val="格式一"/>
    <w:basedOn w:val="1"/>
    <w:qFormat/>
    <w:uiPriority w:val="0"/>
    <w:rPr>
      <w:rFonts w:ascii="Times New Roman" w:hAnsi="Times New Roman" w:cs="Times New Roman"/>
      <w:szCs w:val="24"/>
    </w:rPr>
  </w:style>
  <w:style w:type="paragraph" w:customStyle="1" w:styleId="198">
    <w:name w:val="Char Char1"/>
    <w:basedOn w:val="1"/>
    <w:qFormat/>
    <w:uiPriority w:val="0"/>
    <w:pPr>
      <w:widowControl/>
      <w:spacing w:beforeLines="100" w:after="160" w:line="240" w:lineRule="exact"/>
      <w:jc w:val="left"/>
    </w:pPr>
    <w:rPr>
      <w:rFonts w:ascii="Verdana" w:hAnsi="Verdana" w:cs="Times New Roman"/>
      <w:kern w:val="0"/>
      <w:sz w:val="20"/>
      <w:szCs w:val="20"/>
      <w:lang w:eastAsia="en-US"/>
    </w:rPr>
  </w:style>
  <w:style w:type="paragraph" w:customStyle="1" w:styleId="199">
    <w:name w:val="样式 标题 2 + 左侧:  0.75 厘米 悬挂缩进: 5.67 字符 段前: 13 磅 段后: 13 磅 行距: 多..."/>
    <w:basedOn w:val="4"/>
    <w:qFormat/>
    <w:uiPriority w:val="0"/>
    <w:pPr>
      <w:tabs>
        <w:tab w:val="left" w:pos="420"/>
        <w:tab w:val="left" w:pos="960"/>
      </w:tabs>
      <w:spacing w:beforeLines="50" w:afterLines="50" w:line="415" w:lineRule="auto"/>
      <w:ind w:left="960" w:hanging="480"/>
    </w:pPr>
    <w:rPr>
      <w:rFonts w:ascii="仿宋_GB2312" w:eastAsia="宋体" w:cs="宋体"/>
      <w:b w:val="0"/>
      <w:kern w:val="0"/>
      <w:sz w:val="21"/>
      <w:szCs w:val="20"/>
    </w:rPr>
  </w:style>
  <w:style w:type="paragraph" w:customStyle="1" w:styleId="200">
    <w:name w:val="正文 + Arial"/>
    <w:basedOn w:val="1"/>
    <w:link w:val="273"/>
    <w:qFormat/>
    <w:uiPriority w:val="0"/>
    <w:pPr>
      <w:spacing w:afterLines="50" w:line="360" w:lineRule="auto"/>
      <w:ind w:firstLine="420" w:firstLineChars="200"/>
    </w:pPr>
    <w:rPr>
      <w:rFonts w:ascii="Arial" w:cs="Arial"/>
      <w:szCs w:val="24"/>
    </w:rPr>
  </w:style>
  <w:style w:type="paragraph" w:customStyle="1" w:styleId="201">
    <w:name w:val="附注－正文"/>
    <w:basedOn w:val="18"/>
    <w:link w:val="275"/>
    <w:qFormat/>
    <w:uiPriority w:val="0"/>
    <w:pPr>
      <w:adjustRightInd w:val="0"/>
      <w:snapToGrid w:val="0"/>
      <w:spacing w:afterLines="50" w:line="360" w:lineRule="auto"/>
      <w:ind w:firstLine="200" w:firstLineChars="200"/>
    </w:pPr>
  </w:style>
  <w:style w:type="paragraph" w:customStyle="1" w:styleId="202">
    <w:name w:val="报告－正文"/>
    <w:basedOn w:val="23"/>
    <w:qFormat/>
    <w:uiPriority w:val="0"/>
    <w:pPr>
      <w:adjustRightInd w:val="0"/>
      <w:snapToGrid w:val="0"/>
      <w:spacing w:line="360" w:lineRule="auto"/>
      <w:ind w:firstLine="560" w:firstLineChars="200"/>
    </w:pPr>
    <w:rPr>
      <w:rFonts w:ascii="Times New Roman" w:hAnsi="Times New Roman" w:cs="Times New Roman"/>
      <w:sz w:val="28"/>
    </w:rPr>
  </w:style>
  <w:style w:type="paragraph" w:customStyle="1" w:styleId="203">
    <w:name w:val="附注－标题二"/>
    <w:basedOn w:val="1"/>
    <w:qFormat/>
    <w:uiPriority w:val="0"/>
    <w:pPr>
      <w:keepNext/>
      <w:numPr>
        <w:ilvl w:val="0"/>
        <w:numId w:val="6"/>
      </w:numPr>
      <w:tabs>
        <w:tab w:val="left" w:pos="945"/>
      </w:tabs>
      <w:adjustRightInd w:val="0"/>
      <w:snapToGrid w:val="0"/>
      <w:spacing w:beforeLines="100" w:afterLines="50" w:line="360" w:lineRule="auto"/>
      <w:ind w:left="0" w:firstLine="480" w:firstLineChars="200"/>
      <w:outlineLvl w:val="0"/>
    </w:pPr>
    <w:rPr>
      <w:rFonts w:ascii="Arial Narrow" w:hAnsi="Arial Narrow" w:eastAsia="黑体" w:cs="Times New Roman"/>
      <w:snapToGrid w:val="0"/>
      <w:kern w:val="0"/>
      <w:sz w:val="24"/>
      <w:szCs w:val="28"/>
    </w:rPr>
  </w:style>
  <w:style w:type="paragraph" w:customStyle="1" w:styleId="204">
    <w:name w:val="样式 附注－标题二 + 非加粗"/>
    <w:basedOn w:val="203"/>
    <w:qFormat/>
    <w:uiPriority w:val="0"/>
    <w:rPr>
      <w:b/>
    </w:rPr>
  </w:style>
  <w:style w:type="paragraph" w:customStyle="1" w:styleId="205">
    <w:name w:val="报告－地址"/>
    <w:basedOn w:val="1"/>
    <w:qFormat/>
    <w:uiPriority w:val="0"/>
    <w:pPr>
      <w:tabs>
        <w:tab w:val="left" w:pos="1050"/>
        <w:tab w:val="left" w:pos="5880"/>
      </w:tabs>
      <w:adjustRightInd w:val="0"/>
      <w:snapToGrid w:val="0"/>
      <w:spacing w:beforeLines="150" w:afterLines="100" w:line="360" w:lineRule="auto"/>
      <w:jc w:val="left"/>
    </w:pPr>
    <w:rPr>
      <w:rFonts w:ascii="Times New Roman" w:hAnsi="Times New Roman" w:cs="Times New Roman"/>
      <w:b/>
      <w:bCs/>
      <w:sz w:val="28"/>
      <w:szCs w:val="24"/>
    </w:rPr>
  </w:style>
  <w:style w:type="paragraph" w:customStyle="1" w:styleId="206">
    <w:name w:val="样式 样式 附注－标题五 + 段前: 3.9 磅 段后: 0.5 行 + 段后: 0.5 行"/>
    <w:basedOn w:val="207"/>
    <w:qFormat/>
    <w:uiPriority w:val="0"/>
    <w:pPr>
      <w:numPr>
        <w:ilvl w:val="0"/>
        <w:numId w:val="0"/>
      </w:numPr>
      <w:tabs>
        <w:tab w:val="left" w:pos="345"/>
        <w:tab w:val="left" w:pos="720"/>
        <w:tab w:val="left" w:pos="1860"/>
      </w:tabs>
      <w:spacing w:afterLines="0"/>
      <w:ind w:left="1860" w:hanging="480"/>
    </w:pPr>
  </w:style>
  <w:style w:type="paragraph" w:customStyle="1" w:styleId="207">
    <w:name w:val="样式 附注－标题五 + 段前: 3.9 磅 段后: 0.5 行"/>
    <w:basedOn w:val="208"/>
    <w:qFormat/>
    <w:uiPriority w:val="0"/>
    <w:pPr>
      <w:tabs>
        <w:tab w:val="left" w:pos="720"/>
      </w:tabs>
      <w:spacing w:before="78"/>
      <w:outlineLvl w:val="2"/>
    </w:pPr>
    <w:rPr>
      <w:rFonts w:cs="宋体"/>
      <w:bCs/>
      <w:szCs w:val="20"/>
    </w:rPr>
  </w:style>
  <w:style w:type="paragraph" w:customStyle="1" w:styleId="208">
    <w:name w:val="附注－标题五"/>
    <w:basedOn w:val="1"/>
    <w:next w:val="201"/>
    <w:qFormat/>
    <w:uiPriority w:val="0"/>
    <w:pPr>
      <w:numPr>
        <w:ilvl w:val="0"/>
        <w:numId w:val="7"/>
      </w:numPr>
      <w:adjustRightInd w:val="0"/>
      <w:snapToGrid w:val="0"/>
      <w:spacing w:before="120" w:afterLines="50" w:line="360" w:lineRule="auto"/>
    </w:pPr>
    <w:rPr>
      <w:rFonts w:ascii="Arial Narrow" w:hAnsi="Arial Narrow" w:cs="Times New Roman"/>
      <w:b/>
      <w:szCs w:val="21"/>
    </w:rPr>
  </w:style>
  <w:style w:type="paragraph" w:customStyle="1" w:styleId="209">
    <w:name w:val="Char Char Char Char Char Char Char"/>
    <w:basedOn w:val="1"/>
    <w:qFormat/>
    <w:uiPriority w:val="0"/>
    <w:pPr>
      <w:widowControl/>
      <w:spacing w:after="160" w:line="240" w:lineRule="exact"/>
      <w:jc w:val="left"/>
    </w:pPr>
    <w:rPr>
      <w:rFonts w:ascii="Verdana" w:hAnsi="Verdana" w:cs="Times New Roman"/>
      <w:kern w:val="0"/>
      <w:sz w:val="20"/>
      <w:szCs w:val="20"/>
      <w:lang w:eastAsia="en-US"/>
    </w:rPr>
  </w:style>
  <w:style w:type="paragraph" w:customStyle="1" w:styleId="210">
    <w:name w:val="报告－签章"/>
    <w:basedOn w:val="1"/>
    <w:qFormat/>
    <w:uiPriority w:val="0"/>
    <w:pPr>
      <w:adjustRightInd w:val="0"/>
      <w:snapToGrid w:val="0"/>
      <w:spacing w:beforeLines="100" w:afterLines="200" w:line="360" w:lineRule="auto"/>
      <w:ind w:right="950" w:rightChars="950"/>
      <w:jc w:val="right"/>
    </w:pPr>
    <w:rPr>
      <w:rFonts w:ascii="Times New Roman" w:hAnsi="Times New Roman" w:cs="Times New Roman"/>
      <w:b/>
      <w:bCs/>
      <w:spacing w:val="-10"/>
      <w:sz w:val="28"/>
      <w:szCs w:val="20"/>
    </w:rPr>
  </w:style>
  <w:style w:type="paragraph" w:customStyle="1" w:styleId="211">
    <w:name w:val="默认段落字体 Para Char Char Char Char Char Char Char"/>
    <w:basedOn w:val="1"/>
    <w:qFormat/>
    <w:uiPriority w:val="0"/>
    <w:rPr>
      <w:rFonts w:ascii="Tahoma" w:hAnsi="Tahoma" w:cs="Times New Roman"/>
      <w:sz w:val="24"/>
      <w:szCs w:val="20"/>
    </w:rPr>
  </w:style>
  <w:style w:type="paragraph" w:customStyle="1" w:styleId="212">
    <w:name w:val="批注框文本 Char Char"/>
    <w:basedOn w:val="1"/>
    <w:qFormat/>
    <w:uiPriority w:val="0"/>
    <w:rPr>
      <w:rFonts w:ascii="Times New Roman" w:hAnsi="Times New Roman" w:cs="Times New Roman"/>
      <w:sz w:val="18"/>
      <w:szCs w:val="20"/>
    </w:rPr>
  </w:style>
  <w:style w:type="paragraph" w:customStyle="1" w:styleId="213">
    <w:name w:val="样式 附注－标题二 + (中文) 宋体"/>
    <w:basedOn w:val="203"/>
    <w:qFormat/>
    <w:uiPriority w:val="0"/>
    <w:pPr>
      <w:ind w:left="690" w:hanging="480" w:firstLineChars="0"/>
    </w:pPr>
    <w:rPr>
      <w:rFonts w:eastAsia="宋体"/>
      <w:b/>
    </w:rPr>
  </w:style>
  <w:style w:type="paragraph" w:customStyle="1" w:styleId="214">
    <w:name w:val="Char Char Char Char Char Char Char Char Char Char Char Char Char"/>
    <w:basedOn w:val="1"/>
    <w:qFormat/>
    <w:uiPriority w:val="0"/>
    <w:pPr>
      <w:widowControl/>
      <w:snapToGrid w:val="0"/>
      <w:spacing w:after="160" w:line="300" w:lineRule="auto"/>
      <w:jc w:val="left"/>
    </w:pPr>
    <w:rPr>
      <w:rFonts w:ascii="仿宋_GB2312" w:hAnsi="Verdana" w:eastAsia="仿宋_GB2312" w:cs="Times New Roman"/>
      <w:b/>
      <w:kern w:val="0"/>
      <w:sz w:val="28"/>
      <w:szCs w:val="28"/>
      <w:lang w:eastAsia="en-US"/>
    </w:rPr>
  </w:style>
  <w:style w:type="paragraph" w:customStyle="1" w:styleId="215">
    <w:name w:val="附注－标题三"/>
    <w:basedOn w:val="1"/>
    <w:qFormat/>
    <w:uiPriority w:val="0"/>
    <w:pPr>
      <w:adjustRightInd w:val="0"/>
      <w:snapToGrid w:val="0"/>
      <w:spacing w:before="120" w:afterLines="50" w:line="360" w:lineRule="auto"/>
      <w:ind w:firstLine="150" w:firstLineChars="150"/>
    </w:pPr>
    <w:rPr>
      <w:rFonts w:ascii="Arial Narrow" w:hAnsi="Arial Narrow" w:cs="Times New Roman"/>
      <w:b/>
      <w:snapToGrid w:val="0"/>
      <w:kern w:val="0"/>
      <w:sz w:val="24"/>
      <w:szCs w:val="20"/>
    </w:rPr>
  </w:style>
  <w:style w:type="paragraph" w:customStyle="1" w:styleId="216">
    <w:name w:val="报告－收件人"/>
    <w:basedOn w:val="23"/>
    <w:qFormat/>
    <w:uiPriority w:val="0"/>
    <w:pPr>
      <w:spacing w:beforeLines="50" w:afterLines="50" w:line="360" w:lineRule="auto"/>
    </w:pPr>
    <w:rPr>
      <w:rFonts w:ascii="Times New Roman" w:hAnsi="Times New Roman" w:cs="Times New Roman"/>
      <w:b/>
      <w:bCs/>
      <w:sz w:val="28"/>
      <w:u w:val="single"/>
    </w:rPr>
  </w:style>
  <w:style w:type="paragraph" w:customStyle="1" w:styleId="217">
    <w:name w:val="报告－报告号"/>
    <w:basedOn w:val="23"/>
    <w:qFormat/>
    <w:uiPriority w:val="0"/>
    <w:pPr>
      <w:spacing w:afterLines="50" w:line="360" w:lineRule="auto"/>
      <w:jc w:val="right"/>
    </w:pPr>
    <w:rPr>
      <w:rFonts w:ascii="Times New Roman" w:hAnsi="Times New Roman" w:cs="Times New Roman"/>
      <w:b/>
    </w:rPr>
  </w:style>
  <w:style w:type="paragraph" w:customStyle="1" w:styleId="218">
    <w:name w:val="审计报告3级"/>
    <w:basedOn w:val="1"/>
    <w:qFormat/>
    <w:uiPriority w:val="0"/>
    <w:pPr>
      <w:tabs>
        <w:tab w:val="left" w:pos="1860"/>
      </w:tabs>
      <w:spacing w:before="120" w:after="60" w:line="400" w:lineRule="exact"/>
      <w:ind w:left="1860" w:hanging="480"/>
      <w:outlineLvl w:val="2"/>
    </w:pPr>
    <w:rPr>
      <w:rFonts w:ascii="宋体" w:hAnsi="宋体" w:cs="Times New Roman"/>
      <w:b/>
      <w:bCs/>
      <w:color w:val="0000FF"/>
      <w:szCs w:val="21"/>
    </w:rPr>
  </w:style>
  <w:style w:type="paragraph" w:customStyle="1" w:styleId="219">
    <w:name w:val="报告－签章(工商)"/>
    <w:basedOn w:val="1"/>
    <w:qFormat/>
    <w:uiPriority w:val="0"/>
    <w:pPr>
      <w:adjustRightInd w:val="0"/>
      <w:snapToGrid w:val="0"/>
      <w:spacing w:beforeLines="50"/>
      <w:ind w:right="950" w:rightChars="950"/>
      <w:jc w:val="right"/>
    </w:pPr>
    <w:rPr>
      <w:rFonts w:ascii="Times New Roman" w:hAnsi="Times New Roman" w:cs="Times New Roman"/>
      <w:b/>
      <w:bCs/>
      <w:spacing w:val="-10"/>
      <w:sz w:val="28"/>
      <w:szCs w:val="21"/>
    </w:rPr>
  </w:style>
  <w:style w:type="paragraph" w:customStyle="1" w:styleId="220">
    <w:name w:val="审计报告2级"/>
    <w:basedOn w:val="1"/>
    <w:qFormat/>
    <w:uiPriority w:val="0"/>
    <w:pPr>
      <w:tabs>
        <w:tab w:val="left" w:pos="1380"/>
      </w:tabs>
      <w:snapToGrid w:val="0"/>
      <w:spacing w:before="240" w:after="240" w:line="360" w:lineRule="exact"/>
      <w:ind w:left="1380" w:hanging="480"/>
      <w:outlineLvl w:val="1"/>
    </w:pPr>
    <w:rPr>
      <w:rFonts w:ascii="宋体" w:hAnsi="宋体" w:cs="Times New Roman"/>
      <w:b/>
      <w:color w:val="0000FF"/>
      <w:szCs w:val="20"/>
    </w:rPr>
  </w:style>
  <w:style w:type="paragraph" w:customStyle="1" w:styleId="221">
    <w:name w:val="Char Char Char Char Char Char Char Char"/>
    <w:basedOn w:val="1"/>
    <w:qFormat/>
    <w:uiPriority w:val="0"/>
    <w:pPr>
      <w:widowControl/>
      <w:spacing w:after="160" w:line="240" w:lineRule="exact"/>
      <w:jc w:val="left"/>
    </w:pPr>
    <w:rPr>
      <w:rFonts w:ascii="Times New Roman" w:hAnsi="Times New Roman" w:eastAsia="Times New Roman" w:cs="Times New Roman"/>
      <w:kern w:val="0"/>
      <w:sz w:val="20"/>
      <w:szCs w:val="20"/>
    </w:rPr>
  </w:style>
  <w:style w:type="paragraph" w:customStyle="1" w:styleId="222">
    <w:name w:val="附注－标题四"/>
    <w:basedOn w:val="1"/>
    <w:qFormat/>
    <w:uiPriority w:val="0"/>
    <w:pPr>
      <w:pBdr>
        <w:bottom w:val="single" w:color="auto" w:sz="12" w:space="1"/>
      </w:pBdr>
      <w:adjustRightInd w:val="0"/>
      <w:snapToGrid w:val="0"/>
      <w:spacing w:beforeLines="100" w:afterLines="50" w:line="360" w:lineRule="auto"/>
      <w:jc w:val="center"/>
    </w:pPr>
    <w:rPr>
      <w:rFonts w:ascii="Arial Narrow" w:hAnsi="Arial Narrow" w:eastAsia="黑体" w:cs="Times New Roman"/>
      <w:b/>
      <w:bCs/>
      <w:snapToGrid w:val="0"/>
      <w:spacing w:val="20"/>
      <w:kern w:val="0"/>
      <w:szCs w:val="20"/>
    </w:rPr>
  </w:style>
  <w:style w:type="paragraph" w:customStyle="1" w:styleId="223">
    <w:name w:val="审计报告普通样式"/>
    <w:basedOn w:val="1"/>
    <w:qFormat/>
    <w:uiPriority w:val="0"/>
    <w:pPr>
      <w:spacing w:before="120" w:line="400" w:lineRule="exact"/>
      <w:ind w:firstLine="200" w:firstLineChars="200"/>
    </w:pPr>
    <w:rPr>
      <w:rFonts w:ascii="宋体" w:hAnsi="宋体" w:cs="Times New Roman"/>
      <w:color w:val="0000FF"/>
      <w:szCs w:val="21"/>
    </w:rPr>
  </w:style>
  <w:style w:type="paragraph" w:customStyle="1" w:styleId="224">
    <w:name w:val="Table Text"/>
    <w:qFormat/>
    <w:uiPriority w:val="0"/>
    <w:pPr>
      <w:widowControl w:val="0"/>
    </w:pPr>
    <w:rPr>
      <w:rFonts w:ascii="Times New Roman" w:hAnsi="Times New Roman" w:eastAsia="宋体" w:cs="Times New Roman"/>
      <w:snapToGrid w:val="0"/>
      <w:color w:val="000000"/>
      <w:sz w:val="24"/>
      <w:lang w:val="en-US" w:eastAsia="en-US" w:bidi="ar-SA"/>
    </w:rPr>
  </w:style>
  <w:style w:type="paragraph" w:customStyle="1" w:styleId="225">
    <w:name w:val="普通样式"/>
    <w:basedOn w:val="1"/>
    <w:qFormat/>
    <w:uiPriority w:val="0"/>
    <w:pPr>
      <w:spacing w:before="120" w:after="120" w:line="360" w:lineRule="exact"/>
      <w:ind w:firstLine="420"/>
    </w:pPr>
    <w:rPr>
      <w:rFonts w:ascii="Times New Roman" w:hAnsi="Times New Roman" w:cs="Times New Roman"/>
      <w:color w:val="0000FF"/>
      <w:szCs w:val="21"/>
    </w:rPr>
  </w:style>
  <w:style w:type="paragraph" w:customStyle="1" w:styleId="226">
    <w:name w:val="附注-标题3"/>
    <w:qFormat/>
    <w:uiPriority w:val="0"/>
    <w:pPr>
      <w:tabs>
        <w:tab w:val="left" w:pos="1140"/>
        <w:tab w:val="left" w:pos="1185"/>
      </w:tabs>
      <w:spacing w:beforeLines="25" w:afterLines="25" w:line="360" w:lineRule="auto"/>
      <w:ind w:left="1140" w:hanging="720"/>
      <w:outlineLvl w:val="1"/>
    </w:pPr>
    <w:rPr>
      <w:rFonts w:ascii="Arial Narrow" w:hAnsi="Arial Narrow" w:eastAsia="宋体" w:cs="Times New Roman"/>
      <w:b/>
      <w:kern w:val="2"/>
      <w:sz w:val="21"/>
      <w:szCs w:val="21"/>
      <w:lang w:val="en-US" w:eastAsia="zh-CN" w:bidi="ar-SA"/>
    </w:rPr>
  </w:style>
  <w:style w:type="paragraph" w:customStyle="1" w:styleId="227">
    <w:name w:val="报告－标题"/>
    <w:basedOn w:val="23"/>
    <w:qFormat/>
    <w:uiPriority w:val="0"/>
    <w:pPr>
      <w:adjustRightInd w:val="0"/>
      <w:snapToGrid w:val="0"/>
      <w:spacing w:beforeLines="400" w:afterLines="100" w:line="360" w:lineRule="auto"/>
      <w:jc w:val="center"/>
    </w:pPr>
    <w:rPr>
      <w:rFonts w:ascii="Times New Roman" w:hAnsi="Times New Roman" w:cs="Times New Roman"/>
      <w:b/>
      <w:bCs/>
      <w:snapToGrid w:val="0"/>
      <w:spacing w:val="140"/>
      <w:kern w:val="0"/>
      <w:sz w:val="44"/>
    </w:rPr>
  </w:style>
  <w:style w:type="paragraph" w:customStyle="1" w:styleId="228">
    <w:name w:val="附注－标题一"/>
    <w:basedOn w:val="1"/>
    <w:qFormat/>
    <w:uiPriority w:val="0"/>
    <w:pPr>
      <w:adjustRightInd w:val="0"/>
      <w:snapToGrid w:val="0"/>
      <w:spacing w:beforeLines="50"/>
      <w:jc w:val="center"/>
      <w:outlineLvl w:val="0"/>
    </w:pPr>
    <w:rPr>
      <w:rFonts w:ascii="Arial Narrow" w:hAnsi="Arial Narrow" w:eastAsia="黑体" w:cs="Times New Roman"/>
      <w:b/>
      <w:bCs/>
      <w:snapToGrid w:val="0"/>
      <w:spacing w:val="20"/>
      <w:kern w:val="0"/>
      <w:sz w:val="28"/>
      <w:szCs w:val="20"/>
    </w:rPr>
  </w:style>
  <w:style w:type="paragraph" w:customStyle="1" w:styleId="229">
    <w:name w:val="样式 附注－标题五 + 段后: 0.5 行"/>
    <w:basedOn w:val="208"/>
    <w:qFormat/>
    <w:uiPriority w:val="0"/>
    <w:pPr>
      <w:outlineLvl w:val="2"/>
    </w:pPr>
    <w:rPr>
      <w:rFonts w:cs="宋体"/>
      <w:bCs/>
      <w:szCs w:val="20"/>
    </w:rPr>
  </w:style>
  <w:style w:type="character" w:customStyle="1" w:styleId="230">
    <w:name w:val="页眉 Char"/>
    <w:basedOn w:val="48"/>
    <w:link w:val="29"/>
    <w:semiHidden/>
    <w:qFormat/>
    <w:uiPriority w:val="99"/>
    <w:rPr>
      <w:sz w:val="18"/>
      <w:szCs w:val="18"/>
    </w:rPr>
  </w:style>
  <w:style w:type="character" w:customStyle="1" w:styleId="231">
    <w:name w:val="页脚 Char"/>
    <w:basedOn w:val="48"/>
    <w:link w:val="28"/>
    <w:qFormat/>
    <w:uiPriority w:val="99"/>
    <w:rPr>
      <w:sz w:val="18"/>
      <w:szCs w:val="18"/>
    </w:rPr>
  </w:style>
  <w:style w:type="character" w:customStyle="1" w:styleId="232">
    <w:name w:val="批注框文本 Char"/>
    <w:basedOn w:val="48"/>
    <w:link w:val="27"/>
    <w:semiHidden/>
    <w:qFormat/>
    <w:uiPriority w:val="0"/>
    <w:rPr>
      <w:sz w:val="18"/>
      <w:szCs w:val="18"/>
    </w:rPr>
  </w:style>
  <w:style w:type="character" w:customStyle="1" w:styleId="233">
    <w:name w:val="标题 1 Char"/>
    <w:basedOn w:val="48"/>
    <w:link w:val="3"/>
    <w:qFormat/>
    <w:uiPriority w:val="0"/>
    <w:rPr>
      <w:rFonts w:ascii="Times New Roman" w:hAnsi="Times New Roman" w:eastAsia="宋体" w:cs="Times New Roman"/>
      <w:b/>
      <w:bCs/>
      <w:kern w:val="44"/>
      <w:sz w:val="44"/>
      <w:szCs w:val="44"/>
    </w:rPr>
  </w:style>
  <w:style w:type="character" w:customStyle="1" w:styleId="234">
    <w:name w:val="标题 2 Char"/>
    <w:basedOn w:val="48"/>
    <w:link w:val="4"/>
    <w:qFormat/>
    <w:uiPriority w:val="0"/>
    <w:rPr>
      <w:rFonts w:ascii="Arial" w:hAnsi="Arial" w:eastAsia="黑体" w:cs="Times New Roman"/>
      <w:b/>
      <w:bCs/>
      <w:sz w:val="32"/>
      <w:szCs w:val="32"/>
    </w:rPr>
  </w:style>
  <w:style w:type="character" w:customStyle="1" w:styleId="235">
    <w:name w:val="标题 3 Char"/>
    <w:basedOn w:val="48"/>
    <w:link w:val="5"/>
    <w:qFormat/>
    <w:uiPriority w:val="0"/>
    <w:rPr>
      <w:rFonts w:ascii="黑体" w:hAnsi="Arial" w:eastAsia="黑体" w:cs="Times New Roman"/>
      <w:b/>
      <w:bCs/>
      <w:spacing w:val="10"/>
      <w:sz w:val="28"/>
      <w:szCs w:val="28"/>
    </w:rPr>
  </w:style>
  <w:style w:type="character" w:customStyle="1" w:styleId="236">
    <w:name w:val="标题 4 Char"/>
    <w:basedOn w:val="48"/>
    <w:link w:val="6"/>
    <w:qFormat/>
    <w:uiPriority w:val="0"/>
    <w:rPr>
      <w:rFonts w:ascii="Arial" w:hAnsi="Arial" w:eastAsia="黑体" w:cs="Times New Roman"/>
      <w:spacing w:val="10"/>
      <w:sz w:val="28"/>
      <w:szCs w:val="28"/>
    </w:rPr>
  </w:style>
  <w:style w:type="character" w:customStyle="1" w:styleId="237">
    <w:name w:val="标题 5 Char"/>
    <w:basedOn w:val="48"/>
    <w:link w:val="8"/>
    <w:qFormat/>
    <w:uiPriority w:val="0"/>
    <w:rPr>
      <w:rFonts w:ascii="Arial" w:hAnsi="Arial" w:eastAsia="黑体" w:cs="Times New Roman"/>
      <w:b/>
      <w:color w:val="000000"/>
      <w:spacing w:val="10"/>
      <w:sz w:val="24"/>
      <w:szCs w:val="20"/>
    </w:rPr>
  </w:style>
  <w:style w:type="character" w:customStyle="1" w:styleId="238">
    <w:name w:val="标题 6 Char"/>
    <w:basedOn w:val="48"/>
    <w:link w:val="9"/>
    <w:qFormat/>
    <w:uiPriority w:val="0"/>
    <w:rPr>
      <w:rFonts w:ascii="Arial" w:hAnsi="Arial" w:eastAsia="黑体" w:cs="Times New Roman"/>
      <w:b/>
      <w:spacing w:val="10"/>
      <w:sz w:val="24"/>
      <w:szCs w:val="20"/>
    </w:rPr>
  </w:style>
  <w:style w:type="character" w:customStyle="1" w:styleId="239">
    <w:name w:val="标题 7 Char"/>
    <w:basedOn w:val="48"/>
    <w:link w:val="10"/>
    <w:qFormat/>
    <w:uiPriority w:val="0"/>
    <w:rPr>
      <w:rFonts w:ascii="宋体" w:hAnsi="宋体" w:eastAsia="宋体" w:cs="Times New Roman"/>
      <w:b/>
      <w:spacing w:val="10"/>
      <w:sz w:val="24"/>
      <w:szCs w:val="20"/>
    </w:rPr>
  </w:style>
  <w:style w:type="character" w:customStyle="1" w:styleId="240">
    <w:name w:val="标题 8 Char"/>
    <w:basedOn w:val="48"/>
    <w:link w:val="11"/>
    <w:qFormat/>
    <w:uiPriority w:val="0"/>
    <w:rPr>
      <w:rFonts w:ascii="Arial" w:hAnsi="Arial" w:eastAsia="黑体" w:cs="Times New Roman"/>
      <w:spacing w:val="10"/>
      <w:sz w:val="24"/>
      <w:szCs w:val="20"/>
    </w:rPr>
  </w:style>
  <w:style w:type="character" w:customStyle="1" w:styleId="241">
    <w:name w:val="标题 9 Char"/>
    <w:basedOn w:val="48"/>
    <w:link w:val="12"/>
    <w:qFormat/>
    <w:uiPriority w:val="0"/>
    <w:rPr>
      <w:rFonts w:ascii="Times New Roman" w:hAnsi="Times New Roman" w:eastAsia="宋体" w:cs="Times New Roman"/>
      <w:b/>
      <w:bCs/>
      <w:szCs w:val="24"/>
    </w:rPr>
  </w:style>
  <w:style w:type="character" w:customStyle="1" w:styleId="242">
    <w:name w:val="正文缩进 Char"/>
    <w:link w:val="7"/>
    <w:qFormat/>
    <w:uiPriority w:val="0"/>
    <w:rPr>
      <w:rFonts w:ascii="Times New Roman" w:hAnsi="Times New Roman" w:eastAsia="宋体" w:cs="Times New Roman"/>
      <w:spacing w:val="10"/>
      <w:sz w:val="24"/>
      <w:szCs w:val="20"/>
    </w:rPr>
  </w:style>
  <w:style w:type="character" w:customStyle="1" w:styleId="243">
    <w:name w:val="标题 Char"/>
    <w:qFormat/>
    <w:uiPriority w:val="0"/>
    <w:rPr>
      <w:rFonts w:ascii="Cambria" w:hAnsi="Cambria" w:cs="Times New Roman"/>
      <w:b/>
      <w:bCs/>
      <w:sz w:val="32"/>
      <w:szCs w:val="32"/>
    </w:rPr>
  </w:style>
  <w:style w:type="character" w:customStyle="1" w:styleId="244">
    <w:name w:val="标题 Char1"/>
    <w:basedOn w:val="48"/>
    <w:link w:val="42"/>
    <w:qFormat/>
    <w:uiPriority w:val="10"/>
    <w:rPr>
      <w:rFonts w:ascii="Cambria" w:hAnsi="Cambria" w:eastAsia="宋体" w:cs="黑体"/>
      <w:b/>
      <w:bCs/>
      <w:sz w:val="32"/>
      <w:szCs w:val="32"/>
    </w:rPr>
  </w:style>
  <w:style w:type="character" w:customStyle="1" w:styleId="245">
    <w:name w:val="文档结构图 Char"/>
    <w:qFormat/>
    <w:uiPriority w:val="0"/>
    <w:rPr>
      <w:rFonts w:ascii="宋体"/>
      <w:sz w:val="18"/>
      <w:szCs w:val="18"/>
    </w:rPr>
  </w:style>
  <w:style w:type="character" w:customStyle="1" w:styleId="246">
    <w:name w:val="文档结构图 Char1"/>
    <w:basedOn w:val="48"/>
    <w:link w:val="15"/>
    <w:semiHidden/>
    <w:qFormat/>
    <w:uiPriority w:val="99"/>
    <w:rPr>
      <w:rFonts w:ascii="宋体" w:eastAsia="宋体"/>
      <w:sz w:val="18"/>
      <w:szCs w:val="18"/>
    </w:rPr>
  </w:style>
  <w:style w:type="character" w:customStyle="1" w:styleId="247">
    <w:name w:val="正文文本缩进 Char"/>
    <w:basedOn w:val="48"/>
    <w:link w:val="18"/>
    <w:qFormat/>
    <w:uiPriority w:val="0"/>
    <w:rPr>
      <w:rFonts w:ascii="黑体" w:hAnsi="Times New Roman" w:eastAsia="黑体" w:cs="Times New Roman"/>
      <w:sz w:val="32"/>
      <w:szCs w:val="24"/>
    </w:rPr>
  </w:style>
  <w:style w:type="character" w:customStyle="1" w:styleId="248">
    <w:name w:val="批注文字 Char"/>
    <w:basedOn w:val="48"/>
    <w:link w:val="16"/>
    <w:semiHidden/>
    <w:qFormat/>
    <w:uiPriority w:val="0"/>
    <w:rPr>
      <w:rFonts w:ascii="Times New Roman" w:hAnsi="Times New Roman" w:eastAsia="宋体" w:cs="Times New Roman"/>
      <w:szCs w:val="24"/>
    </w:rPr>
  </w:style>
  <w:style w:type="character" w:customStyle="1" w:styleId="249">
    <w:name w:val="批注主题 Char"/>
    <w:basedOn w:val="248"/>
    <w:link w:val="43"/>
    <w:semiHidden/>
    <w:qFormat/>
    <w:uiPriority w:val="0"/>
    <w:rPr>
      <w:rFonts w:ascii="Times New Roman" w:hAnsi="Times New Roman" w:eastAsia="宋体" w:cs="Times New Roman"/>
      <w:b/>
      <w:bCs/>
      <w:szCs w:val="24"/>
    </w:rPr>
  </w:style>
  <w:style w:type="character" w:customStyle="1" w:styleId="250">
    <w:name w:val="weizi"/>
    <w:basedOn w:val="48"/>
    <w:qFormat/>
    <w:uiPriority w:val="0"/>
  </w:style>
  <w:style w:type="character" w:customStyle="1" w:styleId="251">
    <w:name w:val="正文文本缩进 2 Char"/>
    <w:basedOn w:val="48"/>
    <w:link w:val="26"/>
    <w:qFormat/>
    <w:uiPriority w:val="0"/>
    <w:rPr>
      <w:rFonts w:ascii="Times New Roman" w:hAnsi="Times New Roman" w:eastAsia="宋体" w:cs="Times New Roman"/>
      <w:sz w:val="28"/>
      <w:szCs w:val="24"/>
    </w:rPr>
  </w:style>
  <w:style w:type="character" w:customStyle="1" w:styleId="252">
    <w:name w:val="正文文本缩进 3 Char"/>
    <w:basedOn w:val="48"/>
    <w:link w:val="35"/>
    <w:qFormat/>
    <w:uiPriority w:val="0"/>
    <w:rPr>
      <w:rFonts w:ascii="Times New Roman" w:hAnsi="Times New Roman" w:eastAsia="宋体" w:cs="Times New Roman"/>
      <w:sz w:val="28"/>
      <w:szCs w:val="24"/>
    </w:rPr>
  </w:style>
  <w:style w:type="character" w:customStyle="1" w:styleId="253">
    <w:name w:val="正文文本 Char"/>
    <w:basedOn w:val="48"/>
    <w:link w:val="17"/>
    <w:qFormat/>
    <w:uiPriority w:val="0"/>
    <w:rPr>
      <w:rFonts w:ascii="宋体" w:hAnsi="Times New Roman" w:eastAsia="宋体" w:cs="Times New Roman"/>
      <w:sz w:val="24"/>
      <w:szCs w:val="20"/>
    </w:rPr>
  </w:style>
  <w:style w:type="character" w:customStyle="1" w:styleId="254">
    <w:name w:val="日期 Char"/>
    <w:basedOn w:val="48"/>
    <w:link w:val="25"/>
    <w:qFormat/>
    <w:uiPriority w:val="0"/>
    <w:rPr>
      <w:rFonts w:ascii="Times New Roman" w:hAnsi="Times New Roman" w:eastAsia="宋体" w:cs="Times New Roman"/>
      <w:szCs w:val="24"/>
    </w:rPr>
  </w:style>
  <w:style w:type="character" w:customStyle="1" w:styleId="255">
    <w:name w:val="正文小四 Char"/>
    <w:link w:val="69"/>
    <w:qFormat/>
    <w:uiPriority w:val="0"/>
    <w:rPr>
      <w:rFonts w:ascii="Times New Roman" w:hAnsi="Times New Roman" w:eastAsia="宋体" w:cs="Times New Roman"/>
      <w:kern w:val="0"/>
      <w:sz w:val="24"/>
      <w:szCs w:val="20"/>
    </w:rPr>
  </w:style>
  <w:style w:type="character" w:customStyle="1" w:styleId="256">
    <w:name w:val="正文首行缩进 Char"/>
    <w:basedOn w:val="253"/>
    <w:link w:val="44"/>
    <w:qFormat/>
    <w:uiPriority w:val="0"/>
    <w:rPr>
      <w:rFonts w:ascii="Times New Roman" w:hAnsi="Times New Roman" w:eastAsia="宋体" w:cs="Times New Roman"/>
      <w:sz w:val="24"/>
      <w:szCs w:val="20"/>
    </w:rPr>
  </w:style>
  <w:style w:type="character" w:customStyle="1" w:styleId="257">
    <w:name w:val="一级条标题 Char1"/>
    <w:link w:val="78"/>
    <w:qFormat/>
    <w:uiPriority w:val="0"/>
    <w:rPr>
      <w:rFonts w:ascii="黑体" w:hAnsi="Times New Roman" w:eastAsia="黑体" w:cs="Times New Roman"/>
      <w:kern w:val="0"/>
      <w:szCs w:val="20"/>
    </w:rPr>
  </w:style>
  <w:style w:type="character" w:customStyle="1" w:styleId="258">
    <w:name w:val="纯文本 Char"/>
    <w:basedOn w:val="48"/>
    <w:link w:val="23"/>
    <w:qFormat/>
    <w:uiPriority w:val="0"/>
    <w:rPr>
      <w:rFonts w:ascii="宋体" w:hAnsi="Courier New" w:eastAsia="宋体" w:cs="Courier New"/>
      <w:szCs w:val="21"/>
    </w:rPr>
  </w:style>
  <w:style w:type="character" w:customStyle="1" w:styleId="259">
    <w:name w:val="HTML 编码"/>
    <w:qFormat/>
    <w:uiPriority w:val="0"/>
    <w:rPr>
      <w:rFonts w:ascii="Courier New" w:hAnsi="Courier New"/>
      <w:sz w:val="20"/>
      <w:szCs w:val="20"/>
    </w:rPr>
  </w:style>
  <w:style w:type="character" w:customStyle="1" w:styleId="260">
    <w:name w:val="HTML 地址 Char"/>
    <w:basedOn w:val="48"/>
    <w:link w:val="20"/>
    <w:qFormat/>
    <w:uiPriority w:val="0"/>
    <w:rPr>
      <w:rFonts w:ascii="Times" w:hAnsi="Times" w:eastAsia="宋体" w:cs="Times New Roman"/>
      <w:i/>
      <w:iCs/>
      <w:snapToGrid w:val="0"/>
      <w:kern w:val="18"/>
      <w:sz w:val="18"/>
      <w:szCs w:val="18"/>
    </w:rPr>
  </w:style>
  <w:style w:type="character" w:customStyle="1" w:styleId="261">
    <w:name w:val="正文文本 3 Char"/>
    <w:basedOn w:val="48"/>
    <w:link w:val="2"/>
    <w:qFormat/>
    <w:uiPriority w:val="0"/>
    <w:rPr>
      <w:rFonts w:ascii="Times New Roman" w:hAnsi="Times New Roman" w:eastAsia="宋体" w:cs="Times New Roman"/>
      <w:sz w:val="16"/>
      <w:szCs w:val="16"/>
    </w:rPr>
  </w:style>
  <w:style w:type="character" w:customStyle="1" w:styleId="262">
    <w:name w:val="HTML 站点"/>
    <w:qFormat/>
    <w:uiPriority w:val="0"/>
    <w:rPr>
      <w:i/>
      <w:iCs/>
    </w:rPr>
  </w:style>
  <w:style w:type="character" w:customStyle="1" w:styleId="263">
    <w:name w:val="发布"/>
    <w:qFormat/>
    <w:uiPriority w:val="0"/>
    <w:rPr>
      <w:rFonts w:ascii="黑体" w:eastAsia="黑体"/>
      <w:spacing w:val="22"/>
      <w:w w:val="100"/>
      <w:position w:val="3"/>
      <w:sz w:val="28"/>
    </w:rPr>
  </w:style>
  <w:style w:type="character" w:customStyle="1" w:styleId="264">
    <w:name w:val="个人答复风格"/>
    <w:qFormat/>
    <w:uiPriority w:val="0"/>
    <w:rPr>
      <w:rFonts w:ascii="Arial" w:hAnsi="Arial" w:eastAsia="宋体" w:cs="Arial"/>
      <w:color w:val="auto"/>
      <w:sz w:val="20"/>
    </w:rPr>
  </w:style>
  <w:style w:type="character" w:customStyle="1" w:styleId="265">
    <w:name w:val="个人撰写风格"/>
    <w:qFormat/>
    <w:uiPriority w:val="0"/>
    <w:rPr>
      <w:rFonts w:ascii="Arial" w:hAnsi="Arial" w:eastAsia="宋体" w:cs="Arial"/>
      <w:color w:val="auto"/>
      <w:sz w:val="20"/>
    </w:rPr>
  </w:style>
  <w:style w:type="character" w:customStyle="1" w:styleId="266">
    <w:name w:val="脚注文本 Char"/>
    <w:basedOn w:val="48"/>
    <w:link w:val="33"/>
    <w:semiHidden/>
    <w:qFormat/>
    <w:uiPriority w:val="0"/>
    <w:rPr>
      <w:rFonts w:ascii="Times" w:hAnsi="Times" w:eastAsia="宋体" w:cs="Times New Roman"/>
      <w:snapToGrid w:val="0"/>
      <w:kern w:val="18"/>
      <w:sz w:val="18"/>
      <w:szCs w:val="18"/>
    </w:rPr>
  </w:style>
  <w:style w:type="character" w:customStyle="1" w:styleId="267">
    <w:name w:val="正文文本 2 Char"/>
    <w:basedOn w:val="48"/>
    <w:link w:val="39"/>
    <w:qFormat/>
    <w:uiPriority w:val="0"/>
    <w:rPr>
      <w:rFonts w:ascii="Times New Roman" w:hAnsi="Times New Roman" w:eastAsia="宋体" w:cs="Times New Roman"/>
      <w:szCs w:val="24"/>
    </w:rPr>
  </w:style>
  <w:style w:type="character" w:customStyle="1" w:styleId="268">
    <w:name w:val="h41 Char"/>
    <w:qFormat/>
    <w:uiPriority w:val="0"/>
    <w:rPr>
      <w:rFonts w:ascii="Arial" w:hAnsi="Arial" w:eastAsia="黑体"/>
      <w:b/>
      <w:spacing w:val="10"/>
      <w:kern w:val="2"/>
      <w:sz w:val="24"/>
      <w:lang w:val="en-US" w:eastAsia="zh-CN" w:bidi="ar-SA"/>
    </w:rPr>
  </w:style>
  <w:style w:type="character" w:customStyle="1" w:styleId="269">
    <w:name w:val="正文1 Char"/>
    <w:qFormat/>
    <w:uiPriority w:val="0"/>
    <w:rPr>
      <w:rFonts w:eastAsia="宋体"/>
      <w:spacing w:val="20"/>
      <w:kern w:val="2"/>
      <w:sz w:val="24"/>
      <w:lang w:val="en-US" w:eastAsia="zh-CN" w:bidi="ar-SA"/>
    </w:rPr>
  </w:style>
  <w:style w:type="character" w:customStyle="1" w:styleId="270">
    <w:name w:val="h91"/>
    <w:qFormat/>
    <w:uiPriority w:val="0"/>
    <w:rPr>
      <w:rFonts w:hint="default"/>
      <w:sz w:val="18"/>
      <w:u w:val="none"/>
    </w:rPr>
  </w:style>
  <w:style w:type="character" w:customStyle="1" w:styleId="271">
    <w:name w:val="msoins"/>
    <w:basedOn w:val="48"/>
    <w:qFormat/>
    <w:uiPriority w:val="0"/>
  </w:style>
  <w:style w:type="character" w:customStyle="1" w:styleId="272">
    <w:name w:val="font14 line-height"/>
    <w:basedOn w:val="48"/>
    <w:qFormat/>
    <w:uiPriority w:val="0"/>
  </w:style>
  <w:style w:type="character" w:customStyle="1" w:styleId="273">
    <w:name w:val="正文 + Arial Char"/>
    <w:basedOn w:val="48"/>
    <w:link w:val="200"/>
    <w:qFormat/>
    <w:uiPriority w:val="0"/>
    <w:rPr>
      <w:rFonts w:ascii="Arial" w:eastAsia="宋体" w:cs="Arial"/>
      <w:szCs w:val="24"/>
    </w:rPr>
  </w:style>
  <w:style w:type="character" w:customStyle="1" w:styleId="274">
    <w:name w:val="附注－标题二 Char"/>
    <w:basedOn w:val="48"/>
    <w:qFormat/>
    <w:uiPriority w:val="0"/>
    <w:rPr>
      <w:rFonts w:ascii="Arial Narrow" w:hAnsi="Arial Narrow" w:eastAsia="黑体"/>
      <w:snapToGrid w:val="0"/>
      <w:sz w:val="24"/>
      <w:szCs w:val="28"/>
      <w:lang w:val="en-US" w:eastAsia="zh-CN" w:bidi="ar-SA"/>
    </w:rPr>
  </w:style>
  <w:style w:type="character" w:customStyle="1" w:styleId="275">
    <w:name w:val="附注－正文 Char"/>
    <w:basedOn w:val="247"/>
    <w:link w:val="201"/>
    <w:qFormat/>
    <w:uiPriority w:val="0"/>
    <w:rPr>
      <w:rFonts w:ascii="黑体" w:hAnsi="Times New Roman" w:eastAsia="黑体" w:cs="Times New Roman"/>
      <w:sz w:val="32"/>
      <w:szCs w:val="24"/>
    </w:rPr>
  </w:style>
  <w:style w:type="character" w:customStyle="1" w:styleId="276">
    <w:name w:val="正文首行缩进 2 Char"/>
    <w:basedOn w:val="247"/>
    <w:link w:val="45"/>
    <w:qFormat/>
    <w:uiPriority w:val="0"/>
    <w:rPr>
      <w:rFonts w:ascii="Times New Roman" w:hAnsi="Times New Roman" w:eastAsia="宋体" w:cs="Times New Roman"/>
      <w:sz w:val="32"/>
      <w:szCs w:val="20"/>
    </w:rPr>
  </w:style>
  <w:style w:type="character" w:customStyle="1" w:styleId="277">
    <w:name w:val="HTML 预设格式 Char"/>
    <w:basedOn w:val="48"/>
    <w:link w:val="40"/>
    <w:qFormat/>
    <w:uiPriority w:val="0"/>
    <w:rPr>
      <w:rFonts w:ascii="宋体" w:hAnsi="宋体" w:eastAsia="宋体" w:cs="宋体"/>
      <w:kern w:val="0"/>
      <w:sz w:val="24"/>
      <w:szCs w:val="24"/>
    </w:rPr>
  </w:style>
  <w:style w:type="character" w:customStyle="1" w:styleId="278">
    <w:name w:val="普通(网站) Char"/>
    <w:link w:val="41"/>
    <w:qFormat/>
    <w:uiPriority w:val="0"/>
    <w:rPr>
      <w:rFonts w:ascii="Arial Unicode MS" w:hAnsi="Arial Unicode MS" w:eastAsia="Arial Unicode MS" w:cs="Arial Unicode MS"/>
      <w:color w:val="000000"/>
      <w:kern w:val="0"/>
      <w:sz w:val="24"/>
      <w:szCs w:val="24"/>
    </w:rPr>
  </w:style>
  <w:style w:type="character" w:customStyle="1" w:styleId="279">
    <w:name w:val="Body text|1_"/>
    <w:link w:val="280"/>
    <w:qFormat/>
    <w:uiPriority w:val="0"/>
    <w:rPr>
      <w:rFonts w:ascii="宋体" w:hAnsi="宋体" w:cs="宋体"/>
      <w:sz w:val="22"/>
      <w:szCs w:val="22"/>
      <w:lang w:val="zh-TW" w:eastAsia="zh-TW" w:bidi="zh-TW"/>
    </w:rPr>
  </w:style>
  <w:style w:type="paragraph" w:customStyle="1" w:styleId="280">
    <w:name w:val="Body text|1"/>
    <w:basedOn w:val="1"/>
    <w:link w:val="279"/>
    <w:qFormat/>
    <w:uiPriority w:val="0"/>
    <w:pPr>
      <w:spacing w:after="140"/>
      <w:ind w:firstLine="840"/>
      <w:jc w:val="left"/>
    </w:pPr>
    <w:rPr>
      <w:rFonts w:ascii="宋体" w:hAnsi="宋体" w:cs="宋体"/>
      <w:kern w:val="0"/>
      <w:sz w:val="22"/>
      <w:lang w:val="zh-TW" w:eastAsia="zh-TW" w:bidi="zh-TW"/>
    </w:rPr>
  </w:style>
  <w:style w:type="character" w:customStyle="1" w:styleId="281">
    <w:name w:val="Other|1_"/>
    <w:link w:val="282"/>
    <w:qFormat/>
    <w:uiPriority w:val="0"/>
    <w:rPr>
      <w:rFonts w:ascii="宋体" w:hAnsi="宋体" w:cs="宋体"/>
      <w:sz w:val="26"/>
      <w:szCs w:val="26"/>
      <w:lang w:val="zh-TW" w:eastAsia="zh-TW" w:bidi="zh-TW"/>
    </w:rPr>
  </w:style>
  <w:style w:type="paragraph" w:customStyle="1" w:styleId="282">
    <w:name w:val="Other|1"/>
    <w:basedOn w:val="1"/>
    <w:link w:val="281"/>
    <w:qFormat/>
    <w:uiPriority w:val="0"/>
    <w:pPr>
      <w:spacing w:line="439" w:lineRule="auto"/>
      <w:ind w:firstLine="90"/>
      <w:jc w:val="left"/>
    </w:pPr>
    <w:rPr>
      <w:rFonts w:ascii="宋体" w:hAnsi="宋体" w:cs="宋体"/>
      <w:kern w:val="0"/>
      <w:sz w:val="26"/>
      <w:szCs w:val="26"/>
      <w:lang w:val="zh-TW" w:eastAsia="zh-TW" w:bidi="zh-TW"/>
    </w:rPr>
  </w:style>
  <w:style w:type="character" w:customStyle="1" w:styleId="283">
    <w:name w:val="Header or footer|1_"/>
    <w:link w:val="284"/>
    <w:qFormat/>
    <w:uiPriority w:val="0"/>
    <w:rPr>
      <w:rFonts w:ascii="宋体" w:hAnsi="宋体" w:cs="宋体"/>
      <w:sz w:val="17"/>
      <w:szCs w:val="17"/>
      <w:lang w:val="zh-TW" w:eastAsia="zh-TW" w:bidi="zh-TW"/>
    </w:rPr>
  </w:style>
  <w:style w:type="paragraph" w:customStyle="1" w:styleId="284">
    <w:name w:val="Header or footer|1"/>
    <w:basedOn w:val="1"/>
    <w:link w:val="283"/>
    <w:qFormat/>
    <w:uiPriority w:val="0"/>
    <w:pPr>
      <w:jc w:val="left"/>
    </w:pPr>
    <w:rPr>
      <w:rFonts w:ascii="宋体" w:hAnsi="宋体" w:cs="宋体"/>
      <w:kern w:val="0"/>
      <w:sz w:val="17"/>
      <w:szCs w:val="17"/>
      <w:lang w:val="zh-TW" w:eastAsia="zh-TW" w:bidi="zh-TW"/>
    </w:rPr>
  </w:style>
  <w:style w:type="paragraph" w:customStyle="1" w:styleId="285">
    <w:name w:val="Char1"/>
    <w:basedOn w:val="1"/>
    <w:qFormat/>
    <w:uiPriority w:val="0"/>
    <w:rPr>
      <w:rFonts w:ascii="Tahoma" w:hAnsi="Tahoma" w:cs="Times New Roman"/>
      <w:sz w:val="24"/>
      <w:szCs w:val="20"/>
    </w:rPr>
  </w:style>
  <w:style w:type="paragraph" w:customStyle="1" w:styleId="286">
    <w:name w:val="修订2"/>
    <w:semiHidden/>
    <w:qFormat/>
    <w:uiPriority w:val="0"/>
    <w:rPr>
      <w:rFonts w:ascii="Times New Roman" w:hAnsi="Times New Roman" w:eastAsia="宋体" w:cs="Times New Roman"/>
      <w:kern w:val="2"/>
      <w:sz w:val="21"/>
      <w:szCs w:val="24"/>
      <w:lang w:val="en-US" w:eastAsia="zh-CN" w:bidi="ar-SA"/>
    </w:rPr>
  </w:style>
  <w:style w:type="paragraph" w:customStyle="1" w:styleId="287">
    <w:name w:val="Char Char Char Char1"/>
    <w:basedOn w:val="1"/>
    <w:qFormat/>
    <w:uiPriority w:val="0"/>
    <w:rPr>
      <w:rFonts w:ascii="宋体" w:hAnsi="宋体" w:cs="Times New Roman"/>
      <w:sz w:val="24"/>
      <w:szCs w:val="20"/>
    </w:rPr>
  </w:style>
  <w:style w:type="paragraph" w:customStyle="1" w:styleId="288">
    <w:name w:val="Char Char Char Char Char Char Char1"/>
    <w:basedOn w:val="1"/>
    <w:qFormat/>
    <w:uiPriority w:val="0"/>
    <w:pPr>
      <w:widowControl/>
      <w:spacing w:after="160" w:line="240" w:lineRule="exact"/>
      <w:jc w:val="left"/>
    </w:pPr>
    <w:rPr>
      <w:rFonts w:ascii="Verdana" w:hAnsi="Verdana" w:cs="Times New Roman"/>
      <w:kern w:val="0"/>
      <w:sz w:val="20"/>
      <w:szCs w:val="20"/>
      <w:lang w:eastAsia="en-US"/>
    </w:rPr>
  </w:style>
  <w:style w:type="paragraph" w:customStyle="1" w:styleId="289">
    <w:name w:val="Char Char Char Char Char Char Char Char1"/>
    <w:basedOn w:val="1"/>
    <w:qFormat/>
    <w:uiPriority w:val="0"/>
    <w:pPr>
      <w:widowControl/>
      <w:spacing w:after="160" w:line="240" w:lineRule="exact"/>
      <w:jc w:val="left"/>
    </w:pPr>
    <w:rPr>
      <w:rFonts w:ascii="Times New Roman" w:hAnsi="Times New Roman" w:eastAsia="Times New Roman" w:cs="Times New Roman"/>
      <w:kern w:val="0"/>
      <w:sz w:val="20"/>
      <w:szCs w:val="20"/>
    </w:rPr>
  </w:style>
  <w:style w:type="paragraph" w:styleId="29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8"/>
    <customShpInfo spid="_x0000_s1139"/>
    <customShpInfo spid="_x0000_s1142"/>
    <customShpInfo spid="_x0000_s1026"/>
  </customShpExts>
</s:customData>
</file>

<file path=customXml/item2.xml><?xml version="1.0" encoding="utf-8"?>
<b:Sources xmlns:b="http://schemas.openxmlformats.org/officeDocument/2006/bibliography" xmlns="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3862D-2F5B-4F3C-B21A-F8A7B6431C83}">
  <ds:schemaRefs/>
</ds:datastoreItem>
</file>

<file path=docProps/app.xml><?xml version="1.0" encoding="utf-8"?>
<Properties xmlns="http://schemas.openxmlformats.org/officeDocument/2006/extended-properties" xmlns:vt="http://schemas.openxmlformats.org/officeDocument/2006/docPropsVTypes">
  <Company>Microsoft</Company>
  <Pages>1</Pages>
  <Words>5084</Words>
  <Characters>28983</Characters>
  <Lines>241</Lines>
  <Paragraphs>67</Paragraphs>
  <TotalTime>3</TotalTime>
  <ScaleCrop>false</ScaleCrop>
  <LinksUpToDate>false</LinksUpToDate>
  <CharactersWithSpaces>34000</CharactersWithSpaces>
  <Application>WPS Office WWO_wpscloud_20221226105305-1d712461b5</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2024-04-27T03:33:00Z</dcterms:created>
  <dc:creator>Administrator</dc:creator>
  <cp:lastModifiedBy>Administrator</cp:lastModifiedBy>
  <cp:lastPrinted>2025-04-25T16:42:00Z</cp:lastPrinted>
  <dcterms:modified xsi:type="dcterms:W3CDTF">2025-04-30T09:19:51Z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4D0069B8B3974B29A93D2F0BE4949F4C</vt:lpwstr>
  </property>
</Properties>
</file>